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both"/>
        <w:outlineLvl w:val="0"/>
        <w:rPr>
          <w:rStyle w:val="16"/>
          <w:rFonts w:hint="eastAsia" w:eastAsiaTheme="minorEastAsia"/>
          <w:sz w:val="32"/>
          <w:szCs w:val="32"/>
          <w:lang w:val="en-US" w:eastAsia="zh-CN"/>
        </w:rPr>
      </w:pPr>
      <w:r>
        <w:rPr>
          <w:rStyle w:val="16"/>
          <w:rFonts w:hint="eastAsia"/>
          <w:sz w:val="32"/>
          <w:szCs w:val="32"/>
          <w:lang w:val="en-US" w:eastAsia="zh-CN"/>
        </w:rPr>
        <w:t>附件2</w:t>
      </w:r>
    </w:p>
    <w:p>
      <w:pPr>
        <w:rPr>
          <w:rFonts w:hint="eastAsia" w:ascii="方正小标宋简体" w:hAnsi="方正小标宋简体" w:eastAsia="方正小标宋简体" w:cs="方正小标宋简体"/>
          <w:sz w:val="32"/>
          <w:szCs w:val="32"/>
        </w:rPr>
      </w:pPr>
    </w:p>
    <w:p>
      <w:pPr>
        <w:jc w:val="center"/>
        <w:rPr>
          <w:rFonts w:hint="eastAsia" w:ascii="仿宋_GB2312" w:hAnsi="仿宋_GB2312" w:eastAsia="仿宋_GB2312" w:cs="仿宋_GB2312"/>
          <w:b/>
          <w:bCs/>
          <w:sz w:val="44"/>
          <w:szCs w:val="44"/>
        </w:rPr>
      </w:pPr>
      <w:r>
        <w:rPr>
          <w:rFonts w:hint="eastAsia" w:ascii="方正小标宋简体" w:hAnsi="方正小标宋简体" w:eastAsia="方正小标宋简体" w:cs="方正小标宋简体"/>
          <w:b/>
          <w:bCs/>
          <w:sz w:val="44"/>
          <w:szCs w:val="44"/>
        </w:rPr>
        <w:t>投标（报价）须知</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项目</w:t>
      </w:r>
      <w:r>
        <w:rPr>
          <w:rFonts w:hint="eastAsia" w:ascii="仿宋_GB2312" w:hAnsi="仿宋_GB2312" w:eastAsia="仿宋_GB2312" w:cs="仿宋_GB2312"/>
          <w:b/>
          <w:bCs/>
          <w:sz w:val="32"/>
          <w:szCs w:val="32"/>
          <w:lang w:val="en-US" w:eastAsia="zh-CN"/>
        </w:rPr>
        <w:t>名称</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lang w:val="en-US" w:eastAsia="zh-CN"/>
        </w:rPr>
        <w:t>微软正版化平台服务采购项目。</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预算金额</w:t>
      </w:r>
      <w:r>
        <w:rPr>
          <w:rFonts w:hint="eastAsia" w:ascii="仿宋_GB2312" w:hAnsi="仿宋_GB2312" w:eastAsia="仿宋_GB2312" w:cs="仿宋_GB2312"/>
          <w:color w:val="auto"/>
          <w:sz w:val="32"/>
          <w:szCs w:val="32"/>
          <w:highlight w:val="none"/>
          <w:lang w:val="en-US" w:eastAsia="zh-CN"/>
        </w:rPr>
        <w:t>：775200元。</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rPr>
        <w:t>资质要求：</w:t>
      </w:r>
      <w:r>
        <w:rPr>
          <w:rFonts w:hint="eastAsia" w:ascii="仿宋_GB2312" w:hAnsi="仿宋_GB2312" w:eastAsia="仿宋_GB2312" w:cs="仿宋_GB2312"/>
          <w:color w:val="auto"/>
          <w:sz w:val="32"/>
          <w:szCs w:val="32"/>
          <w:highlight w:val="none"/>
        </w:rPr>
        <w:t>供应商应具有开展软件或信息技术服务业务的相关业务范围（在营业执照经营范围上有相关体现），不具备业务范围的不得参与采购活动。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报名及报价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（一）截止时间：2024年4月 9日17:00。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sz w:val="32"/>
          <w:szCs w:val="32"/>
          <w:lang w:val="en-US" w:eastAsia="zh-CN"/>
        </w:rPr>
        <w:t>（二）报名方式：</w:t>
      </w:r>
      <w:r>
        <w:rPr>
          <w:rFonts w:hint="eastAsia" w:ascii="仿宋_GB2312" w:hAnsi="仿宋_GB2312" w:eastAsia="仿宋_GB2312" w:cs="仿宋_GB2312"/>
          <w:color w:val="auto"/>
          <w:sz w:val="32"/>
          <w:szCs w:val="32"/>
          <w:u w:val="none"/>
          <w:lang w:val="en-US" w:eastAsia="zh-CN"/>
        </w:rPr>
        <w:fldChar w:fldCharType="begin"/>
      </w:r>
      <w:r>
        <w:rPr>
          <w:rFonts w:hint="eastAsia" w:ascii="仿宋_GB2312" w:hAnsi="仿宋_GB2312" w:eastAsia="仿宋_GB2312" w:cs="仿宋_GB2312"/>
          <w:color w:val="auto"/>
          <w:sz w:val="32"/>
          <w:szCs w:val="32"/>
          <w:u w:val="none"/>
          <w:lang w:val="en-US" w:eastAsia="zh-CN"/>
        </w:rPr>
        <w:instrText xml:space="preserve"> HYPERLINK "mailto:将《报名表》及投标保证金转账回执单的扫描件发送至邮箱gxjygz@163.com（发送成功会有已接收回复邮件）。截标时间前报名有效（以邮件接收时间为准）。" </w:instrText>
      </w:r>
      <w:r>
        <w:rPr>
          <w:rFonts w:hint="eastAsia" w:ascii="仿宋_GB2312" w:hAnsi="仿宋_GB2312" w:eastAsia="仿宋_GB2312" w:cs="仿宋_GB2312"/>
          <w:color w:val="auto"/>
          <w:sz w:val="32"/>
          <w:szCs w:val="32"/>
          <w:u w:val="none"/>
          <w:lang w:val="en-US" w:eastAsia="zh-CN"/>
        </w:rPr>
        <w:fldChar w:fldCharType="separate"/>
      </w:r>
      <w:r>
        <w:rPr>
          <w:rStyle w:val="8"/>
          <w:rFonts w:hint="eastAsia" w:ascii="仿宋_GB2312" w:hAnsi="仿宋_GB2312" w:eastAsia="仿宋_GB2312" w:cs="仿宋_GB2312"/>
          <w:b w:val="0"/>
          <w:bCs w:val="0"/>
          <w:color w:val="auto"/>
          <w:sz w:val="32"/>
          <w:szCs w:val="32"/>
          <w:u w:val="none"/>
          <w:lang w:val="en-US" w:eastAsia="zh-CN"/>
        </w:rPr>
        <w:t>将《报名表》及投标保证金转账回执单的扫描件（加盖公章有效）发</w:t>
      </w:r>
      <w:r>
        <w:rPr>
          <w:rStyle w:val="8"/>
          <w:rFonts w:hint="eastAsia" w:ascii="仿宋_GB2312" w:hAnsi="仿宋_GB2312" w:eastAsia="仿宋_GB2312" w:cs="仿宋_GB2312"/>
          <w:color w:val="auto"/>
          <w:sz w:val="32"/>
          <w:szCs w:val="32"/>
          <w:u w:val="none"/>
          <w:lang w:val="en-US" w:eastAsia="zh-CN"/>
        </w:rPr>
        <w:t>送至邮箱gxjygz@163.com。截标时间前报名有效（以邮件</w:t>
      </w:r>
      <w:r>
        <w:rPr>
          <w:rStyle w:val="8"/>
          <w:rFonts w:hint="eastAsia" w:ascii="仿宋_GB2312" w:hAnsi="仿宋_GB2312" w:eastAsia="仿宋_GB2312" w:cs="仿宋_GB2312"/>
          <w:b/>
          <w:bCs/>
          <w:color w:val="auto"/>
          <w:sz w:val="32"/>
          <w:szCs w:val="32"/>
          <w:u w:val="none"/>
          <w:lang w:val="en-US" w:eastAsia="zh-CN"/>
        </w:rPr>
        <w:t>接收时间</w:t>
      </w:r>
      <w:r>
        <w:rPr>
          <w:rStyle w:val="8"/>
          <w:rFonts w:hint="eastAsia" w:ascii="仿宋_GB2312" w:hAnsi="仿宋_GB2312" w:eastAsia="仿宋_GB2312" w:cs="仿宋_GB2312"/>
          <w:color w:val="auto"/>
          <w:sz w:val="32"/>
          <w:szCs w:val="32"/>
          <w:u w:val="none"/>
          <w:lang w:val="en-US" w:eastAsia="zh-CN"/>
        </w:rPr>
        <w:t>为准）。</w:t>
      </w:r>
      <w:r>
        <w:rPr>
          <w:rFonts w:hint="eastAsia" w:ascii="仿宋_GB2312" w:hAnsi="仿宋_GB2312" w:eastAsia="仿宋_GB2312" w:cs="仿宋_GB2312"/>
          <w:color w:val="auto"/>
          <w:sz w:val="32"/>
          <w:szCs w:val="32"/>
          <w:u w:val="none"/>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Style w:val="8"/>
          <w:rFonts w:hint="eastAsia" w:ascii="仿宋_GB2312" w:hAnsi="仿宋_GB2312" w:eastAsia="仿宋_GB2312" w:cs="仿宋_GB2312"/>
          <w:color w:val="auto"/>
          <w:sz w:val="32"/>
          <w:szCs w:val="32"/>
          <w:u w:val="none"/>
          <w:lang w:val="en-US" w:eastAsia="zh-CN"/>
        </w:rPr>
      </w:pPr>
      <w:r>
        <w:rPr>
          <w:rStyle w:val="8"/>
          <w:rFonts w:hint="eastAsia" w:ascii="仿宋_GB2312" w:hAnsi="仿宋_GB2312" w:eastAsia="仿宋_GB2312" w:cs="仿宋_GB2312"/>
          <w:color w:val="auto"/>
          <w:sz w:val="32"/>
          <w:szCs w:val="32"/>
          <w:u w:val="none"/>
          <w:lang w:val="en-US" w:eastAsia="zh-CN"/>
        </w:rPr>
        <w:t>根据桂财采〔2022〕30号文件精神，本项目收取预算金额的1%（¥</w:t>
      </w:r>
      <w:r>
        <w:rPr>
          <w:rFonts w:hint="eastAsia" w:ascii="仿宋_GB2312" w:hAnsi="仿宋_GB2312" w:eastAsia="仿宋_GB2312" w:cs="仿宋_GB2312"/>
          <w:color w:val="auto"/>
          <w:sz w:val="32"/>
          <w:szCs w:val="32"/>
          <w:highlight w:val="none"/>
          <w:lang w:val="en-US" w:eastAsia="zh-CN"/>
        </w:rPr>
        <w:t>7752.00</w:t>
      </w:r>
      <w:r>
        <w:rPr>
          <w:rStyle w:val="8"/>
          <w:rFonts w:hint="eastAsia" w:ascii="仿宋_GB2312" w:hAnsi="仿宋_GB2312" w:eastAsia="仿宋_GB2312" w:cs="仿宋_GB2312"/>
          <w:color w:val="auto"/>
          <w:sz w:val="32"/>
          <w:szCs w:val="32"/>
          <w:u w:val="none"/>
          <w:lang w:val="en-US" w:eastAsia="zh-CN"/>
        </w:rPr>
        <w:t>）作为投标（响应）保证金，并依法退还（原途）。保证金必须通过投标企业的银行账户转帐，并在转帐单上备注明确用途。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Style w:val="8"/>
          <w:rFonts w:hint="eastAsia" w:ascii="仿宋_GB2312" w:hAnsi="仿宋_GB2312" w:eastAsia="仿宋_GB2312" w:cs="仿宋_GB2312"/>
          <w:color w:val="auto"/>
          <w:sz w:val="32"/>
          <w:szCs w:val="32"/>
          <w:u w:val="none"/>
          <w:lang w:val="en-US" w:eastAsia="zh-CN"/>
        </w:rPr>
      </w:pPr>
      <w:r>
        <w:rPr>
          <w:rStyle w:val="8"/>
          <w:rFonts w:hint="eastAsia" w:ascii="仿宋_GB2312" w:hAnsi="仿宋_GB2312" w:eastAsia="仿宋_GB2312" w:cs="仿宋_GB2312"/>
          <w:color w:val="auto"/>
          <w:sz w:val="32"/>
          <w:szCs w:val="32"/>
          <w:u w:val="none"/>
          <w:lang w:val="en-US" w:eastAsia="zh-CN"/>
        </w:rPr>
        <w:t>账户名：广西警察学院。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Style w:val="8"/>
          <w:rFonts w:hint="eastAsia" w:ascii="仿宋_GB2312" w:hAnsi="仿宋_GB2312" w:eastAsia="仿宋_GB2312" w:cs="仿宋_GB2312"/>
          <w:color w:val="auto"/>
          <w:sz w:val="32"/>
          <w:szCs w:val="32"/>
          <w:u w:val="none"/>
          <w:lang w:val="en-US" w:eastAsia="zh-CN"/>
        </w:rPr>
      </w:pPr>
      <w:r>
        <w:rPr>
          <w:rStyle w:val="8"/>
          <w:rFonts w:hint="eastAsia" w:ascii="仿宋_GB2312" w:hAnsi="仿宋_GB2312" w:eastAsia="仿宋_GB2312" w:cs="仿宋_GB2312"/>
          <w:color w:val="auto"/>
          <w:sz w:val="32"/>
          <w:szCs w:val="32"/>
          <w:u w:val="none"/>
          <w:lang w:val="en-US" w:eastAsia="zh-CN"/>
        </w:rPr>
        <w:t>账号：617159392963。</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Style w:val="8"/>
          <w:rFonts w:hint="eastAsia" w:ascii="仿宋_GB2312" w:hAnsi="仿宋_GB2312" w:eastAsia="仿宋_GB2312" w:cs="仿宋_GB2312"/>
          <w:color w:val="auto"/>
          <w:sz w:val="32"/>
          <w:szCs w:val="32"/>
          <w:u w:val="none"/>
          <w:lang w:val="en-US" w:eastAsia="zh-CN"/>
        </w:rPr>
      </w:pPr>
      <w:r>
        <w:rPr>
          <w:rStyle w:val="8"/>
          <w:rFonts w:hint="eastAsia" w:ascii="仿宋_GB2312" w:hAnsi="仿宋_GB2312" w:eastAsia="仿宋_GB2312" w:cs="仿宋_GB2312"/>
          <w:color w:val="auto"/>
          <w:sz w:val="32"/>
          <w:szCs w:val="32"/>
          <w:u w:val="none"/>
          <w:lang w:val="en-US" w:eastAsia="zh-CN"/>
        </w:rPr>
        <w:t>开户银行：中国银行东葛支行。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（三）报价方式：报名成功后，</w:t>
      </w:r>
      <w:r>
        <w:rPr>
          <w:rFonts w:hint="eastAsia" w:ascii="仿宋_GB2312" w:hAnsi="仿宋_GB2312" w:eastAsia="仿宋_GB2312" w:cs="仿宋_GB2312"/>
          <w:b w:val="0"/>
          <w:bCs w:val="0"/>
          <w:sz w:val="32"/>
          <w:szCs w:val="32"/>
          <w:u w:val="none"/>
          <w:lang w:val="en-US" w:eastAsia="zh-CN"/>
        </w:rPr>
        <w:t>将报价单等相关资料</w:t>
      </w:r>
      <w:r>
        <w:rPr>
          <w:rFonts w:hint="eastAsia" w:ascii="仿宋_GB2312" w:hAnsi="仿宋_GB2312" w:eastAsia="仿宋_GB2312" w:cs="仿宋_GB2312"/>
          <w:sz w:val="32"/>
          <w:szCs w:val="32"/>
          <w:lang w:val="en-US" w:eastAsia="zh-CN"/>
        </w:rPr>
        <w:t>通过</w:t>
      </w:r>
      <w:r>
        <w:rPr>
          <w:rFonts w:hint="eastAsia" w:ascii="仿宋_GB2312" w:hAnsi="仿宋_GB2312" w:eastAsia="仿宋_GB2312" w:cs="仿宋_GB2312"/>
          <w:b/>
          <w:bCs/>
          <w:sz w:val="32"/>
          <w:szCs w:val="32"/>
          <w:lang w:val="en-US" w:eastAsia="zh-CN"/>
        </w:rPr>
        <w:t>邮寄</w:t>
      </w:r>
      <w:r>
        <w:rPr>
          <w:rFonts w:hint="eastAsia" w:ascii="仿宋_GB2312" w:hAnsi="仿宋_GB2312" w:eastAsia="仿宋_GB2312" w:cs="仿宋_GB2312"/>
          <w:sz w:val="32"/>
          <w:szCs w:val="32"/>
          <w:lang w:val="en-US" w:eastAsia="zh-CN"/>
        </w:rPr>
        <w:t>的方式进行报价（建议使用</w:t>
      </w:r>
      <w:r>
        <w:rPr>
          <w:rFonts w:hint="eastAsia" w:ascii="仿宋_GB2312" w:hAnsi="仿宋_GB2312" w:eastAsia="仿宋_GB2312" w:cs="仿宋_GB2312"/>
          <w:b/>
          <w:bCs/>
          <w:sz w:val="32"/>
          <w:szCs w:val="32"/>
          <w:lang w:val="en-US" w:eastAsia="zh-CN"/>
        </w:rPr>
        <w:t>“EMS邮政速递”</w:t>
      </w:r>
      <w:r>
        <w:rPr>
          <w:rFonts w:hint="eastAsia" w:ascii="仿宋_GB2312" w:hAnsi="仿宋_GB2312" w:eastAsia="仿宋_GB2312" w:cs="仿宋_GB2312"/>
          <w:sz w:val="32"/>
          <w:szCs w:val="32"/>
          <w:lang w:val="en-US" w:eastAsia="zh-CN"/>
        </w:rPr>
        <w:t>进行邮寄报价）。截标时间前报价有效（以邮件</w:t>
      </w:r>
      <w:r>
        <w:rPr>
          <w:rFonts w:hint="eastAsia" w:ascii="仿宋_GB2312" w:hAnsi="仿宋_GB2312" w:eastAsia="仿宋_GB2312" w:cs="仿宋_GB2312"/>
          <w:b/>
          <w:bCs/>
          <w:color w:val="auto"/>
          <w:sz w:val="32"/>
          <w:szCs w:val="32"/>
          <w:lang w:val="en-US" w:eastAsia="zh-CN"/>
        </w:rPr>
        <w:t>签收时间</w:t>
      </w:r>
      <w:r>
        <w:rPr>
          <w:rFonts w:hint="eastAsia" w:ascii="仿宋_GB2312" w:hAnsi="仿宋_GB2312" w:eastAsia="仿宋_GB2312" w:cs="仿宋_GB2312"/>
          <w:sz w:val="32"/>
          <w:szCs w:val="32"/>
          <w:lang w:val="en-US" w:eastAsia="zh-CN"/>
        </w:rPr>
        <w:t>为准），如因邮寄问题未能及时送达，由投标（报价)人</w:t>
      </w:r>
      <w:bookmarkStart w:id="0" w:name="_GoBack"/>
      <w:bookmarkEnd w:id="0"/>
      <w:r>
        <w:rPr>
          <w:rFonts w:hint="eastAsia" w:ascii="仿宋_GB2312" w:hAnsi="仿宋_GB2312" w:eastAsia="仿宋_GB2312" w:cs="仿宋_GB2312"/>
          <w:sz w:val="32"/>
          <w:szCs w:val="32"/>
          <w:lang w:val="en-US" w:eastAsia="zh-CN"/>
        </w:rPr>
        <w:t>自行承担。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邮寄地址：南宁市军堂路6号广西警察学院国资处1502室  罗老师（收） 电话：（0771）5615802。</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方正小标宋简体" w:hAnsi="方正小标宋简体" w:eastAsia="方正小标宋简体" w:cs="方正小标宋简体"/>
          <w:sz w:val="44"/>
          <w:szCs w:val="44"/>
        </w:rPr>
      </w:pPr>
      <w:r>
        <w:rPr>
          <w:rFonts w:hint="eastAsia" w:ascii="仿宋_GB2312" w:hAnsi="仿宋_GB2312" w:eastAsia="仿宋_GB2312" w:cs="仿宋_GB2312"/>
          <w:sz w:val="32"/>
          <w:szCs w:val="32"/>
          <w:lang w:val="en-US" w:eastAsia="zh-CN"/>
        </w:rPr>
        <w:t>五、供应商报名并提交报价视为完全了解本项目公告及附件内容，如果中标后弃标或不配合签订合同的，将按相关规定报自治区财政厅，并没收其投标保（响应）证金。</w:t>
      </w:r>
    </w:p>
    <w:p>
      <w:pPr>
        <w:jc w:val="both"/>
        <w:rPr>
          <w:rFonts w:hint="eastAsia" w:ascii="方正小标宋简体" w:hAnsi="方正小标宋简体" w:eastAsia="方正小标宋简体" w:cs="方正小标宋简体"/>
          <w:sz w:val="32"/>
          <w:szCs w:val="32"/>
        </w:rPr>
      </w:pPr>
    </w:p>
    <w:p>
      <w:pPr>
        <w:jc w:val="center"/>
        <w:rPr>
          <w:rFonts w:hint="eastAsia" w:ascii="方正小标宋简体" w:hAnsi="方正小标宋简体" w:eastAsia="方正小标宋简体" w:cs="方正小标宋简体"/>
          <w:sz w:val="32"/>
          <w:szCs w:val="32"/>
        </w:rPr>
      </w:pP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采购需求</w:t>
      </w:r>
    </w:p>
    <w:p>
      <w:pPr>
        <w:spacing w:line="400" w:lineRule="exact"/>
        <w:ind w:left="-10" w:leftChars="-5" w:right="2" w:rightChars="1" w:firstLine="420" w:firstLineChars="200"/>
        <w:rPr>
          <w:rFonts w:hint="eastAsia" w:ascii="宋体" w:hAnsi="宋体"/>
          <w:b/>
          <w:bCs/>
        </w:rPr>
      </w:pPr>
    </w:p>
    <w:p>
      <w:pPr>
        <w:numPr>
          <w:ilvl w:val="0"/>
          <w:numId w:val="2"/>
        </w:numPr>
        <w:spacing w:line="400" w:lineRule="exact"/>
        <w:ind w:left="-422" w:leftChars="0" w:right="2" w:rightChars="1" w:firstLine="422" w:firstLineChars="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项目基本情况</w:t>
      </w:r>
    </w:p>
    <w:p>
      <w:pPr>
        <w:numPr>
          <w:ilvl w:val="0"/>
          <w:numId w:val="0"/>
        </w:numPr>
        <w:spacing w:line="400" w:lineRule="exact"/>
        <w:ind w:leftChars="195" w:right="2" w:rightChars="1"/>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项目名称：广西警察学院微软正版化平台服务采购项目</w:t>
      </w:r>
    </w:p>
    <w:p>
      <w:pPr>
        <w:numPr>
          <w:ilvl w:val="0"/>
          <w:numId w:val="0"/>
        </w:numPr>
        <w:spacing w:line="400" w:lineRule="exact"/>
        <w:ind w:leftChars="195" w:right="2" w:rightChars="1"/>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预算控制价（元）：775200    </w:t>
      </w:r>
    </w:p>
    <w:p>
      <w:pPr>
        <w:numPr>
          <w:ilvl w:val="0"/>
          <w:numId w:val="0"/>
        </w:numPr>
        <w:spacing w:line="400" w:lineRule="exact"/>
        <w:ind w:leftChars="195" w:right="2" w:rightChars="1"/>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服务期：三年</w:t>
      </w:r>
    </w:p>
    <w:p>
      <w:pPr>
        <w:spacing w:line="400" w:lineRule="exact"/>
        <w:ind w:right="2" w:rightChars="1"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其他</w:t>
      </w:r>
      <w:r>
        <w:rPr>
          <w:rFonts w:hint="eastAsia" w:ascii="仿宋_GB2312" w:hAnsi="仿宋_GB2312" w:eastAsia="仿宋_GB2312" w:cs="仿宋_GB2312"/>
          <w:b/>
          <w:bCs/>
          <w:sz w:val="32"/>
          <w:szCs w:val="32"/>
        </w:rPr>
        <w:t>说明：</w:t>
      </w:r>
    </w:p>
    <w:p>
      <w:pPr>
        <w:numPr>
          <w:ilvl w:val="0"/>
          <w:numId w:val="0"/>
        </w:numPr>
        <w:spacing w:line="400" w:lineRule="exact"/>
        <w:ind w:leftChars="195" w:right="2" w:rightChars="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1.供应商所提供的产品（服务）实质上应相当于或优于本需求中的服务内容及技术质量要求。</w:t>
      </w:r>
    </w:p>
    <w:p>
      <w:pPr>
        <w:numPr>
          <w:ilvl w:val="0"/>
          <w:numId w:val="0"/>
        </w:numPr>
        <w:spacing w:line="400" w:lineRule="exact"/>
        <w:ind w:leftChars="195" w:right="2" w:rightChars="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2.本一览表的“服务内容及技术质量要求”中的技术规格不明确或有误的，供应商请以详细、正确的技术规格（配置）同时填写报价表和技术响应及偏离情况说明表。</w:t>
      </w:r>
    </w:p>
    <w:p>
      <w:pPr>
        <w:numPr>
          <w:ilvl w:val="0"/>
          <w:numId w:val="0"/>
        </w:numPr>
        <w:spacing w:line="400" w:lineRule="exact"/>
        <w:ind w:leftChars="195" w:right="2" w:rightChars="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3.本项目中标注“▲”号的要求为实质性要求和条件，对这些关键性要求的任何不满足将导致竞标无效。 </w:t>
      </w:r>
    </w:p>
    <w:p>
      <w:pPr>
        <w:numPr>
          <w:ilvl w:val="0"/>
          <w:numId w:val="0"/>
        </w:numPr>
        <w:spacing w:line="400" w:lineRule="exact"/>
        <w:ind w:leftChars="195" w:right="2" w:rightChars="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4.本次采购服务所属行业：软件和信息技术服务业。</w:t>
      </w:r>
    </w:p>
    <w:p>
      <w:pPr>
        <w:numPr>
          <w:ilvl w:val="0"/>
          <w:numId w:val="0"/>
        </w:numPr>
        <w:spacing w:line="400" w:lineRule="exact"/>
        <w:ind w:leftChars="195" w:right="2" w:rightChars="1"/>
        <w:rPr>
          <w:rFonts w:hint="eastAsia" w:ascii="仿宋_GB2312" w:hAnsi="仿宋_GB2312" w:eastAsia="仿宋_GB2312" w:cs="仿宋_GB2312"/>
          <w:sz w:val="32"/>
          <w:szCs w:val="32"/>
          <w:lang w:val="en-US" w:eastAsia="zh-CN"/>
        </w:rPr>
      </w:pPr>
    </w:p>
    <w:p>
      <w:pPr>
        <w:numPr>
          <w:ilvl w:val="0"/>
          <w:numId w:val="2"/>
        </w:numPr>
        <w:spacing w:line="400" w:lineRule="exact"/>
        <w:ind w:left="-422" w:leftChars="0" w:right="2" w:rightChars="1" w:firstLine="422" w:firstLineChars="0"/>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技术要求：</w:t>
      </w:r>
    </w:p>
    <w:tbl>
      <w:tblPr>
        <w:tblStyle w:val="10"/>
        <w:tblW w:w="91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639"/>
        <w:gridCol w:w="5706"/>
        <w:gridCol w:w="451"/>
        <w:gridCol w:w="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6" w:hRule="atLeast"/>
          <w:jc w:val="center"/>
        </w:trPr>
        <w:tc>
          <w:tcPr>
            <w:tcW w:w="704" w:type="dxa"/>
            <w:vAlign w:val="center"/>
          </w:tcPr>
          <w:p>
            <w:pPr>
              <w:spacing w:line="276" w:lineRule="auto"/>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项号</w:t>
            </w:r>
          </w:p>
        </w:tc>
        <w:tc>
          <w:tcPr>
            <w:tcW w:w="1639" w:type="dxa"/>
            <w:vAlign w:val="center"/>
          </w:tcPr>
          <w:p>
            <w:pPr>
              <w:spacing w:line="276" w:lineRule="auto"/>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服务名称</w:t>
            </w:r>
          </w:p>
        </w:tc>
        <w:tc>
          <w:tcPr>
            <w:tcW w:w="5706" w:type="dxa"/>
            <w:vAlign w:val="center"/>
          </w:tcPr>
          <w:p>
            <w:pPr>
              <w:spacing w:line="276" w:lineRule="auto"/>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技术规格要求（服务内容及技术质量要求）</w:t>
            </w:r>
          </w:p>
        </w:tc>
        <w:tc>
          <w:tcPr>
            <w:tcW w:w="451" w:type="dxa"/>
            <w:vAlign w:val="center"/>
          </w:tcPr>
          <w:p>
            <w:pPr>
              <w:spacing w:line="276" w:lineRule="auto"/>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单位</w:t>
            </w:r>
          </w:p>
        </w:tc>
        <w:tc>
          <w:tcPr>
            <w:tcW w:w="652" w:type="dxa"/>
            <w:vAlign w:val="center"/>
          </w:tcPr>
          <w:p>
            <w:pPr>
              <w:spacing w:line="276" w:lineRule="auto"/>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639"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操作系统(桌面系统)软件许可授权服务</w:t>
            </w:r>
          </w:p>
        </w:tc>
        <w:tc>
          <w:tcPr>
            <w:tcW w:w="5706" w:type="dxa"/>
            <w:vAlign w:val="center"/>
          </w:tcPr>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一、基本要求</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▲1.授权方式：校园正版协议（Campus Agreement）（非OEM版）。</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▲2.涵盖范围：学校办公室、教室、实验室和图书馆等场所的计算机包括教职工电脑和笔记本。</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▲3.授权版本：不低于Windows 11/10/8.1/8专业版。</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▲4.服务有效期内，软件如有升级版本，授权对升级版本同样有效。</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▲5.服务有效期间，价格不得变动，新增计算机不</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再加收任何费用。</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二、功能要求</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▲1、产品语言：至少包括简体中文和英文版本。</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2、桌面操作系统要能够支持系统之间轻松传送，可以将原有低版本系统上的文件、文件夹、程序设置和系统设置从旧 PC 转移到新PC。</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3、支持自适应性显示器亮度。</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4、支持用户帐户控制。</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5、平台安全稳定。具有基本的安全功能（如内核修补程序保护、服务强化、数据执行保护、地址空间布局随机选择和强制完整性级别），并针对恶意软件和攻击提供增强的防护。</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6、支持系统还原。系统还原点在备份中也可用，可以从一个更大的还原点列表中进行选择，并且可能覆盖很长一段时间。</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7、支持自动化的启动修复工具来诊断和恢复无法启动的系统。</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8、支持从其他电脑远程访问某台电脑上的文件和程序。能够进行脱机操作，自动将电脑和网络上的内容同步。</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三、服务要求</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▲1、提供软件补丁更新和技术支持（包括电话支持和在线支持）。</w:t>
            </w:r>
          </w:p>
        </w:tc>
        <w:tc>
          <w:tcPr>
            <w:tcW w:w="451"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w:t>
            </w:r>
          </w:p>
        </w:tc>
        <w:tc>
          <w:tcPr>
            <w:tcW w:w="652"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1639"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办公软件(Office)套件软件许可授权服务</w:t>
            </w:r>
          </w:p>
        </w:tc>
        <w:tc>
          <w:tcPr>
            <w:tcW w:w="5706" w:type="dxa"/>
            <w:vAlign w:val="center"/>
          </w:tcPr>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一、基本要求</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▲1.授权方式：校园正版协议（Campus Agreement）（非OEM版）。</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▲2.涵盖范围：学校办公室、教室、实验室和图书馆等场所的计算机包括教职工电脑和笔记本。</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▲3.授权版本：不低于Office 2021/2019/2016/2013 专业增强版（Windows）、Office 2021/2019/2016/2011标准版（Mac）。</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▲4.服务有效期内，软件如有升级版本 ，授权对升级版本同样有效。</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▲5.服务有效期间，价格不得变动，新增计算机不再加收任何费用。</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二、功能要求</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▲1.产品须分别能支持Windows平台和mac平台。</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▲2.必须包含以下组件：</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（1）文字处理软件；</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（2）电子表格软件；</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（3）PPT演示软件；</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（4）电子邮件访问软件；</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（5）电子笔记本软件。</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3.提供以结果为导向的用户界面，让操作更为流畅、简洁：</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（1）“上下文选项卡”可智能感知用户操作，并将所需命令全盘奉上；</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（2）智能标记等可以出现在所有应用程序中，快速帮助用户完成所需的工作；</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（3）必须提供智能文档（SmartDoc）的操作，使文档的制作更加智能化；</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（4）必须提供智能图形（SmartArt）的制作，使信息以更加直观、生动的方式展现出来；</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（5）应用程序组件之间可以相互沟通，最大限度地实现数据再利用。</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▲4.提供电子邮件组件，作为一个强大的个人信息管理系统，方便地管理电子邮件、联系人信息、任务、个人日程安排、小组工作计划、日志等。</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5.提供更为严格的文档密保机制，有效地提高了机密文档和信息的安全性。</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6.提供共同创作功能，允许团队中的多人在同一时刻，利用多个办公软件应用程序，对同一服务器文档的不同章节进行编辑，并可同步更新。</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7.能够与前端内容创建应用集成，包括（团队协作、门户技术、内容管理、业务流程和表格、企业搜索、商业智能和与第三方应用的连接性支持）。</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▲8.提供丰富的扩展和开发能力，IT人员和高级用户可以通过VBA技术、XML技术、VS.net开发定制，使其更符合企业办公的特殊需求。</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9.提供跨越手机、电脑、浏览器的使用新体验：</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（1）在云、数据中心和混合环境中提供最佳办公体验。</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（2）包括统一沟通、企业协作、商业智能、企业项目管理在内的多种解决方案供选择。</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三、服务要求</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▲1.提供软件补丁更新和技术支持（包括电话支持和在线支持）。</w:t>
            </w:r>
          </w:p>
        </w:tc>
        <w:tc>
          <w:tcPr>
            <w:tcW w:w="451"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w:t>
            </w:r>
          </w:p>
        </w:tc>
        <w:tc>
          <w:tcPr>
            <w:tcW w:w="652"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1639"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服务器操作系统软件许可授权服务</w:t>
            </w:r>
          </w:p>
        </w:tc>
        <w:tc>
          <w:tcPr>
            <w:tcW w:w="5706" w:type="dxa"/>
            <w:vAlign w:val="center"/>
          </w:tcPr>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一、基本要求</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▲1.授权方式：校园正版协议（Campus Agreement）（非OEM版）。</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▲2.涵盖范围：覆盖学校数据中心机房。</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▲3.授权版本：不低于Windows Server 2022/2019/2016/2012标准版。</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▲4.服务有效期内，软件如有升级版本，授权对升级版本同样有效。</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▲5.服务有效期间，价格不得变动，新增计算机不再加收任何费用。</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二、功能要求</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1、提供网络负载平衡、服务器群集和活动目录服务。高效的同步和复制以及分支机构域控制器中的凭据缓存，使活动目录在广域网 (WAN) 连接上运行得更快更稳定。</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2、提供保护网络避免恶意或设计及不良的代码的公共语言运行库，改进的 信息服务安全性、公钥基础结构 (PKI) 和 Kerberos，以及对智能卡和生物测定学的支持。</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3、提供最新的Web服务器角色和Internet信息服务（IIS）版本，并在服务器核心提供对.NET的支持。</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4、提供Hyper-V提供的客户端和服务器虚拟化，以及使用远程桌面服务的演示虚拟化。</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5、具备实时迁移功能，能够在两台运行着Hyper-V的计算机上移动一台虚拟机，而不中断其它任何服务。</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6、提供SMB 3.0，支持将文件服务器作为共享存储。</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7、提供RemoteFX USB重定向及多点触控。</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8、提供PowerShell命令行管理和基于脚本的自动化管理。.NET 深度集成，使用 XML Web 服务实现了前所未有的软件集成水平，离散的构造块应用程序通过 Internet 相互连接在一起并且连接到其他较大的应用程序上。</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三、服务要求</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▲1、提供软件补丁更新和技术支持（包括电话支持和在线支持）。</w:t>
            </w:r>
          </w:p>
        </w:tc>
        <w:tc>
          <w:tcPr>
            <w:tcW w:w="451"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w:t>
            </w:r>
          </w:p>
        </w:tc>
        <w:tc>
          <w:tcPr>
            <w:tcW w:w="652"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1639"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数据库软件许可授权服务</w:t>
            </w:r>
          </w:p>
        </w:tc>
        <w:tc>
          <w:tcPr>
            <w:tcW w:w="5706" w:type="dxa"/>
            <w:vAlign w:val="center"/>
          </w:tcPr>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一、基本要求</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▲1.授权方式：校园正版协议（Campus Agreement）（非OEM版）。</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▲2.涵盖范围：覆盖学校数据中心机房。</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▲3.授权版本：不低于SQL Server 2022/2019/2017/2014/2012标准版。</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▲4.服务有效期内，软件如有升级版本，授权对升级版本同样有效。</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▲5.服务有效期间，价格不得变动，新增计算机不再加收任何费用。</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二、功能要求</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1、支持ANSI/ISO SQL-89、ANSI/ISO SQL-92标准，支持中文汉字内码，符合双字节编码。</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2、数据库产品应具有良好的图形化用户界面（GUI），方便对数据库进行管理。</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3、数据库应具有良好的自我管理，自我配置与自我调优能力。</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4、支持网络传输加密，支持EAL4安全标准、多级安全控制。</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5、与操作系统集成性好，包括集成认证，集成的安全性等支持。</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6、具有支持并行操作所需的技术，如并行装载，并行查询，并行创建索引等。</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7、支持网络上同构或异构数据库之间的数据的有效传输和冗余性复制。具有多种复制功能模块。</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8、支持联机分析处理（OLAP）。支持联机事物处理（OLTP）。支持决策支持的建立，要求能够实现数据的快速装载、高效的并发处理和交互式查询。</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9、开发工具易使用、开发效率高、维护方便。无需另外付费的、良好的产品补丁管理与错误修正计划与支持。</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三、服务要求</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▲提供软件补丁更新和技术支持（包括电话支持和在线支持）。</w:t>
            </w:r>
          </w:p>
        </w:tc>
        <w:tc>
          <w:tcPr>
            <w:tcW w:w="451"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w:t>
            </w:r>
          </w:p>
        </w:tc>
        <w:tc>
          <w:tcPr>
            <w:tcW w:w="652"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1639"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正版软件管理与服务平台服务</w:t>
            </w:r>
          </w:p>
        </w:tc>
        <w:tc>
          <w:tcPr>
            <w:tcW w:w="5706" w:type="dxa"/>
            <w:vAlign w:val="center"/>
          </w:tcPr>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一、基本要求</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▲1.提供正版软件管理与服务平台的本地部署及服务交付工作。</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▲2.授权方式：校园场地授权。</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▲3.须提供平台原厂商针对本项目的授权书原件，并装订附在响应文件正本中。</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▲4.须提供专业软件评测机构出具的软件产品登记测试报告复印件，并加盖软件原厂商公章，装订附在响应文件正本中。</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二、功能要求</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▲1.平台管理后台提供数据可视化中台显示功能，能快速显示用户情况，软件下载，激活分配，软件激活，部门激活排行等相关数据。须提供相关截图证明材料。</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▲2.激活客户端须提供正版软件检查功能，自行采集操作系统、办公软件等软件是否安装正版软件等相关信息。须提供相关截图证明材料。</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▲3.平台具有国产操作系统统信UOS软件，福昕PDF编辑器，金山WPS教育版下载试用功能模块，根据学校需求定制化。须提供相关截图证明材料。</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▲4.满足简单易用需求，平台无需登录，可以通过学校的统一门户直接一键启动激活客户端。须提供相关截图证明材料。</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5.平台可以对包括（但是不限于）Microsoft Windows、Microsoft Office、Adobe、WPS，福昕PDF，统信UOS软件等软件激活进行控制管理。须提供相关截图证明材料。</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6.平台能对软件进行多版本控制管理，管理员可以在后台自由对对软件版本进行管理控制。须提供相关截图证明材料。</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▲7.软件管理与服务平台应当支持部署在学校，且支持私有云平台部署。</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▲8.正版软件管理与服务平台应是基于B/S技术架构，采用统一的标准接口开发，需要能与本校的统一身份认证系统进行对接，对接方式包括（但不限于）单点登录，支持中间表方式对用户信息进行对接。</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9．用户激活次数的分配，正版软件管理与服务平台需要支持不同身份类型用户在注册的时候进行激活次数的自动分配；管理员可以通过后台对用户的激活次数手动进行分配；每个用户激活次数没有具体限制，默认激活次数为5次，用完之后可以申请增加；用户可以通过激活客户端方便的进行新的激活次数的申请，用户的激活次数申请，在后台管理员审核通过后正式下发。</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10.授权模式，用户的激活次数授权模式也应当符合多级部门管理的模式，即，本级部门的激活数量上限，是分配给下级部门及用户的激活次数的上限。</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11.激活方式，在用户使用统一身份认证系统账号密码登录以后，直接通过点击即可完成整个激活操作，无需用户记忆任何其他激活码和代码。且一旦发生激活问题，激活客户端应当给出简单快捷的解决方案。</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▲12.正版软件管理与服务平台应当支持实验室、机房等大批量的计算机激活，激活过程中，机房的客户机需要能在无人干预的情况下自动完成激活操作。</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13.整个激活过程，应当保证不泄露（包括秘钥在内）任何的涉密信息。激活客户端应当保证无法被反编译，以避免因为激活客户端被反编译而导致的关键数据或参数的泄露。</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▲14.激活客户端应当是多功能的集成体，用户一次安装可拥有多种功能，激活客户端至少应道包括的功能有： </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1）正版软件的激活功能。</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2）系统自动更新功能。</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3）驱动备份功能。</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4）软件管理功能。</w:t>
            </w:r>
          </w:p>
          <w:p>
            <w:pPr>
              <w:spacing w:line="3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15.激活客户端应当提供持续的升级服务，升级服务应当是在激活客户端检测到最新版本的时候自动完成。</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三、服务要求</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1.售后服务：包括定期巡检、平台升级、数据导入、更新服务、技术支持，培训技术管理人员正确使用管理平台。</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2.技术支持：提供省内客户服务支持</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（1）技术支持网站：对本单位使用用户提供专业技术交流和技术支持网站；</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（2）使用培训：使用技巧培训，管理平台使用培训；培训3名以上网络管理人员，对系统进行操作培训；</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（3）技术支持：提供在线技术支持服务及服务电话和服务邮箱；400电话热线和网络咨询服务(5*8小时/周)。</w:t>
            </w:r>
          </w:p>
          <w:p>
            <w:pPr>
              <w:spacing w:line="276"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3.软件在质保时间内出现新版本应免费升级。</w:t>
            </w:r>
          </w:p>
        </w:tc>
        <w:tc>
          <w:tcPr>
            <w:tcW w:w="451"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w:t>
            </w:r>
          </w:p>
        </w:tc>
        <w:tc>
          <w:tcPr>
            <w:tcW w:w="652" w:type="dxa"/>
            <w:vAlign w:val="center"/>
          </w:tcPr>
          <w:p>
            <w:pPr>
              <w:spacing w:line="276"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r>
    </w:tbl>
    <w:p>
      <w:pPr>
        <w:rPr>
          <w:rFonts w:hint="eastAsia" w:ascii="仿宋_GB2312" w:hAnsi="仿宋_GB2312" w:eastAsia="仿宋_GB2312" w:cs="仿宋_GB2312"/>
          <w:sz w:val="32"/>
          <w:szCs w:val="32"/>
        </w:rPr>
      </w:pPr>
    </w:p>
    <w:p>
      <w:pPr>
        <w:numPr>
          <w:ilvl w:val="0"/>
          <w:numId w:val="2"/>
        </w:numPr>
        <w:spacing w:line="400" w:lineRule="exact"/>
        <w:ind w:left="-422" w:leftChars="0" w:right="2" w:rightChars="1" w:firstLine="422" w:firstLineChars="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商务要求：</w:t>
      </w:r>
    </w:p>
    <w:p>
      <w:pPr>
        <w:numPr>
          <w:ilvl w:val="0"/>
          <w:numId w:val="0"/>
        </w:numPr>
        <w:spacing w:line="400" w:lineRule="exact"/>
        <w:ind w:leftChars="0" w:right="2" w:rightChars="1"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rPr>
        <w:t>▲</w:t>
      </w:r>
      <w:r>
        <w:rPr>
          <w:rFonts w:hint="eastAsia" w:ascii="仿宋_GB2312" w:hAnsi="仿宋_GB2312" w:eastAsia="仿宋_GB2312" w:cs="仿宋_GB2312"/>
          <w:sz w:val="32"/>
          <w:szCs w:val="32"/>
        </w:rPr>
        <w:t>1.符合《中华人民共和国政府采购法》第二十二条关于供应商条件的规定，遵守本项目采购人本级和上级财政部门关于政府采购的有关规定。</w:t>
      </w:r>
    </w:p>
    <w:p>
      <w:pPr>
        <w:ind w:firstLine="643"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rPr>
        <w:t>▲</w:t>
      </w:r>
      <w:r>
        <w:rPr>
          <w:rFonts w:hint="eastAsia" w:ascii="仿宋_GB2312" w:hAnsi="仿宋_GB2312" w:eastAsia="仿宋_GB2312" w:cs="仿宋_GB2312"/>
          <w:sz w:val="32"/>
          <w:szCs w:val="32"/>
        </w:rPr>
        <w:t>2.本项目的特定资格要求：供应商无不良信用记录，在中国政府采购网（www.ccgp.gov.cn）、“信用中国”网站（www.creditchina.gov.cn）中未被列入失信被执行人、重大税收违法失信主体、政府采购严重违法失信行为记录名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报价要求：本项目成交金额为完成项目所有服务所需的费用，包括但不限于劳务费、软硬件设备、机具材料费、交通费等、数据处理、成果文件编制印刷、质量检查、培训等各种费用和售后服务、税金及其它所有成本费用的总和。合同履约期间采购人不再支付</w:t>
      </w:r>
      <w:r>
        <w:rPr>
          <w:rFonts w:hint="eastAsia" w:ascii="仿宋_GB2312" w:hAnsi="仿宋_GB2312" w:eastAsia="仿宋_GB2312" w:cs="仿宋_GB2312"/>
          <w:sz w:val="32"/>
          <w:szCs w:val="32"/>
          <w:lang w:val="en-US" w:eastAsia="zh-CN"/>
        </w:rPr>
        <w:t>合同金额以外的</w:t>
      </w:r>
      <w:r>
        <w:rPr>
          <w:rFonts w:hint="eastAsia" w:ascii="仿宋_GB2312" w:hAnsi="仿宋_GB2312" w:eastAsia="仿宋_GB2312" w:cs="仿宋_GB2312"/>
          <w:sz w:val="32"/>
          <w:szCs w:val="32"/>
        </w:rPr>
        <w:t>其他费用。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4.合同签订时间：自成交通知书发出之日起25日内。</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5.服务期：自验收通过之日起1年，提供1年的免费质保期，包括免费软件升级、现场技术支持及售后技术支持服务。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6.交付时间：自合同签订之日起15天内全部交付使用。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7.交付地点：采购人指定地点。</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8.付款方式：无预付款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按逐年支付。</w:t>
      </w:r>
      <w:r>
        <w:rPr>
          <w:rFonts w:hint="eastAsia" w:ascii="仿宋_GB2312" w:hAnsi="仿宋_GB2312" w:eastAsia="仿宋_GB2312" w:cs="仿宋_GB2312"/>
          <w:sz w:val="32"/>
          <w:szCs w:val="32"/>
        </w:rPr>
        <w:t>签订合同后，成交供应商完成服务部署并验收合格，采购人收到成交供应商开具等额增值税普通发票</w:t>
      </w:r>
      <w:r>
        <w:rPr>
          <w:rFonts w:hint="eastAsia" w:ascii="仿宋_GB2312" w:hAnsi="仿宋_GB2312" w:eastAsia="仿宋_GB2312" w:cs="仿宋_GB2312"/>
          <w:sz w:val="32"/>
          <w:szCs w:val="32"/>
          <w:lang w:val="en-US" w:eastAsia="zh-CN"/>
        </w:rPr>
        <w:t>后，支付第一年费用给乙方，后续两年服务在每年服务期开始前支付年服务费用。</w:t>
      </w:r>
    </w:p>
    <w:p>
      <w:pPr>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9.售后服务要求：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（1）提供5*8小时技术支持服务，包括即时线上、电话、邮件等服务；若远程不能解决问题时，应提供上门服务。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响应：对于售后服务请求，在出现技术故障时接到采购人通知后，30分钟内响应，4小时内到达现场或远程处理，一般故障处理时限不超过12小时，重大故障处理时限不超过48小时修复。按国家及行业标准对故障进行及时处理或更换，以保证软件服务的正常使用，所发生的费用由成交供应商负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10.知识产权要求：成交供应商须保证采购人在接受其提供的相关软件和服务时免受第三方提出侵犯其知识产权的起诉，由此引起的知识产权纠纷由成交供应商负责。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11.其他要求：提交的响应文件中必须包括技术方案及售后服务方案。</w:t>
      </w: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04883774"/>
      <w:docPartObj>
        <w:docPartGallery w:val="autotext"/>
      </w:docPartObj>
    </w:sdtPr>
    <w:sdtContent>
      <w:p>
        <w:pPr>
          <w:pStyle w:val="5"/>
          <w:jc w:val="center"/>
        </w:pPr>
        <w:r>
          <w:fldChar w:fldCharType="begin"/>
        </w:r>
        <w:r>
          <w:instrText xml:space="preserve">PAGE   \* MERGEFORMAT</w:instrText>
        </w:r>
        <w:r>
          <w:fldChar w:fldCharType="separate"/>
        </w:r>
        <w:r>
          <w:rPr>
            <w:lang w:val="zh-CN"/>
          </w:rPr>
          <w:t>8</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5A9790"/>
    <w:multiLevelType w:val="singleLevel"/>
    <w:tmpl w:val="515A9790"/>
    <w:lvl w:ilvl="0" w:tentative="0">
      <w:start w:val="1"/>
      <w:numFmt w:val="chineseCounting"/>
      <w:suff w:val="nothing"/>
      <w:lvlText w:val="%1、"/>
      <w:lvlJc w:val="left"/>
      <w:pPr>
        <w:ind w:left="-412"/>
      </w:pPr>
      <w:rPr>
        <w:rFonts w:hint="eastAsia"/>
      </w:rPr>
    </w:lvl>
  </w:abstractNum>
  <w:abstractNum w:abstractNumId="1">
    <w:nsid w:val="6229ACCD"/>
    <w:multiLevelType w:val="singleLevel"/>
    <w:tmpl w:val="6229ACC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UzNjhlYjYxYzU2NTAxODNkNTFjNDVhZTcxYTM3NDAifQ=="/>
  </w:docVars>
  <w:rsids>
    <w:rsidRoot w:val="00566B6E"/>
    <w:rsid w:val="00036931"/>
    <w:rsid w:val="00092CF8"/>
    <w:rsid w:val="000C0940"/>
    <w:rsid w:val="00171D89"/>
    <w:rsid w:val="0030045E"/>
    <w:rsid w:val="003B51A0"/>
    <w:rsid w:val="003D0B37"/>
    <w:rsid w:val="00430A9C"/>
    <w:rsid w:val="00485BC5"/>
    <w:rsid w:val="00500AE3"/>
    <w:rsid w:val="00561382"/>
    <w:rsid w:val="00566B6E"/>
    <w:rsid w:val="00566FE9"/>
    <w:rsid w:val="005B7FD7"/>
    <w:rsid w:val="00612BFC"/>
    <w:rsid w:val="006226FF"/>
    <w:rsid w:val="0062576A"/>
    <w:rsid w:val="0075260D"/>
    <w:rsid w:val="0078732B"/>
    <w:rsid w:val="007D7928"/>
    <w:rsid w:val="00802D79"/>
    <w:rsid w:val="008401CB"/>
    <w:rsid w:val="00871BAB"/>
    <w:rsid w:val="008A2FE7"/>
    <w:rsid w:val="008B22B7"/>
    <w:rsid w:val="008C0032"/>
    <w:rsid w:val="008C06FB"/>
    <w:rsid w:val="0090102C"/>
    <w:rsid w:val="0093320F"/>
    <w:rsid w:val="009A3B76"/>
    <w:rsid w:val="00AA0956"/>
    <w:rsid w:val="00B72B03"/>
    <w:rsid w:val="00B816E1"/>
    <w:rsid w:val="00BE14DD"/>
    <w:rsid w:val="00C27C52"/>
    <w:rsid w:val="00C33706"/>
    <w:rsid w:val="00D52725"/>
    <w:rsid w:val="00D70D9A"/>
    <w:rsid w:val="00D77407"/>
    <w:rsid w:val="00DB0E88"/>
    <w:rsid w:val="00DE5108"/>
    <w:rsid w:val="00DF2D86"/>
    <w:rsid w:val="00DF6D91"/>
    <w:rsid w:val="00E005DB"/>
    <w:rsid w:val="00E16D98"/>
    <w:rsid w:val="00E25AAF"/>
    <w:rsid w:val="00E8349B"/>
    <w:rsid w:val="00E977C9"/>
    <w:rsid w:val="00EA27C2"/>
    <w:rsid w:val="00EB4BF2"/>
    <w:rsid w:val="00EE1E40"/>
    <w:rsid w:val="00F54F19"/>
    <w:rsid w:val="00F63424"/>
    <w:rsid w:val="00F7045A"/>
    <w:rsid w:val="00F9632D"/>
    <w:rsid w:val="00FF13F6"/>
    <w:rsid w:val="00FF766C"/>
    <w:rsid w:val="01905197"/>
    <w:rsid w:val="06DC5B4D"/>
    <w:rsid w:val="07DC5DCF"/>
    <w:rsid w:val="08B0749C"/>
    <w:rsid w:val="21632AB3"/>
    <w:rsid w:val="246208B4"/>
    <w:rsid w:val="33DC52AC"/>
    <w:rsid w:val="3647730B"/>
    <w:rsid w:val="42495976"/>
    <w:rsid w:val="49711B22"/>
    <w:rsid w:val="5B660997"/>
    <w:rsid w:val="5C1C4371"/>
    <w:rsid w:val="5D852E46"/>
    <w:rsid w:val="611703E2"/>
    <w:rsid w:val="635E364B"/>
    <w:rsid w:val="68A15651"/>
    <w:rsid w:val="6C394100"/>
    <w:rsid w:val="6CB63811"/>
    <w:rsid w:val="755F3A95"/>
    <w:rsid w:val="77007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0"/>
    <w:pPr>
      <w:keepNext/>
      <w:spacing w:line="340" w:lineRule="exact"/>
      <w:outlineLvl w:val="0"/>
    </w:pPr>
    <w:rPr>
      <w:b/>
      <w:bCs/>
      <w:kern w:val="0"/>
      <w:sz w:val="20"/>
      <w:szCs w:val="20"/>
    </w:rPr>
  </w:style>
  <w:style w:type="character" w:default="1" w:styleId="7">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alloon Text"/>
    <w:basedOn w:val="1"/>
    <w:link w:val="14"/>
    <w:semiHidden/>
    <w:unhideWhenUsed/>
    <w:qFormat/>
    <w:uiPriority w:val="99"/>
    <w:rPr>
      <w:rFonts w:ascii="宋体" w:eastAsia="宋体"/>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tabs>
        <w:tab w:val="center" w:pos="4153"/>
        <w:tab w:val="right" w:pos="8306"/>
      </w:tabs>
      <w:snapToGrid w:val="0"/>
      <w:jc w:val="center"/>
    </w:pPr>
    <w:rPr>
      <w:sz w:val="18"/>
      <w:szCs w:val="18"/>
    </w:rPr>
  </w:style>
  <w:style w:type="character" w:styleId="8">
    <w:name w:val="Hyperlink"/>
    <w:basedOn w:val="7"/>
    <w:qFormat/>
    <w:uiPriority w:val="0"/>
    <w:rPr>
      <w:color w:val="0000FF"/>
      <w:u w:val="single"/>
    </w:rPr>
  </w:style>
  <w:style w:type="character" w:styleId="9">
    <w:name w:val="annotation reference"/>
    <w:basedOn w:val="7"/>
    <w:semiHidden/>
    <w:unhideWhenUsed/>
    <w:qFormat/>
    <w:uiPriority w:val="99"/>
    <w:rPr>
      <w:sz w:val="21"/>
      <w:szCs w:val="21"/>
    </w:rPr>
  </w:style>
  <w:style w:type="character" w:customStyle="1" w:styleId="11">
    <w:name w:val="页眉 字符"/>
    <w:basedOn w:val="7"/>
    <w:link w:val="6"/>
    <w:qFormat/>
    <w:uiPriority w:val="99"/>
    <w:rPr>
      <w:sz w:val="18"/>
      <w:szCs w:val="18"/>
    </w:rPr>
  </w:style>
  <w:style w:type="character" w:customStyle="1" w:styleId="12">
    <w:name w:val="页脚 字符"/>
    <w:basedOn w:val="7"/>
    <w:link w:val="5"/>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批注框文本 字符"/>
    <w:basedOn w:val="7"/>
    <w:link w:val="4"/>
    <w:semiHidden/>
    <w:qFormat/>
    <w:uiPriority w:val="99"/>
    <w:rPr>
      <w:rFonts w:ascii="宋体" w:hAnsiTheme="minorHAnsi" w:cstheme="minorBidi"/>
      <w:kern w:val="2"/>
      <w:sz w:val="18"/>
      <w:szCs w:val="18"/>
    </w:rPr>
  </w:style>
  <w:style w:type="paragraph" w:customStyle="1" w:styleId="15">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6">
    <w:name w:val="标题 1 字符1"/>
    <w:link w:val="2"/>
    <w:qFormat/>
    <w:locked/>
    <w:uiPriority w:val="0"/>
    <w:rPr>
      <w:b/>
      <w:bCs/>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808</Words>
  <Characters>4612</Characters>
  <Lines>38</Lines>
  <Paragraphs>10</Paragraphs>
  <TotalTime>2</TotalTime>
  <ScaleCrop>false</ScaleCrop>
  <LinksUpToDate>false</LinksUpToDate>
  <CharactersWithSpaces>5410</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2023-11-16T07:04:00Z</dcterms:created>
  <dc:creator>admin</dc:creator>
  <cp:lastModifiedBy>张潇予</cp:lastModifiedBy>
  <cp:lastPrinted>2024-04-03T02:39:00Z</cp:lastPrinted>
  <dcterms:modified xsi:type="dcterms:W3CDTF">2024-04-03T03:01:35Z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0F21A95890C0498DB23D83095847F50E_12</vt:lpwstr>
  </property>
</Properties>
</file>