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left"/>
        <w:rPr>
          <w:rFonts w:hint="eastAsia" w:ascii="宋体" w:hAnsi="宋体"/>
          <w:sz w:val="32"/>
          <w:szCs w:val="32"/>
          <w:u w:val="none"/>
          <w:lang w:val="en-US" w:eastAsia="zh-CN"/>
        </w:rPr>
      </w:pPr>
      <w:r>
        <w:rPr>
          <w:rFonts w:hint="eastAsia" w:ascii="宋体" w:hAnsi="宋体"/>
          <w:sz w:val="32"/>
          <w:szCs w:val="32"/>
          <w:u w:val="none"/>
          <w:lang w:eastAsia="zh-CN"/>
        </w:rPr>
        <w:t>附件</w:t>
      </w:r>
      <w:r>
        <w:rPr>
          <w:rFonts w:hint="eastAsia" w:ascii="宋体" w:hAnsi="宋体"/>
          <w:sz w:val="32"/>
          <w:szCs w:val="32"/>
          <w:u w:val="none"/>
          <w:lang w:val="en-US" w:eastAsia="zh-CN"/>
        </w:rPr>
        <w:t>1</w:t>
      </w:r>
    </w:p>
    <w:p>
      <w:pPr>
        <w:shd w:val="clear"/>
        <w:jc w:val="center"/>
        <w:rPr>
          <w:rFonts w:hint="eastAsia" w:ascii="仿宋_GB2312" w:hAnsi="仿宋_GB2312" w:eastAsia="仿宋_GB2312" w:cs="仿宋_GB2312"/>
          <w:b/>
          <w:bCs/>
          <w:sz w:val="44"/>
          <w:szCs w:val="44"/>
        </w:rPr>
      </w:pPr>
      <w:r>
        <w:rPr>
          <w:rFonts w:hint="eastAsia" w:ascii="方正小标宋简体" w:hAnsi="方正小标宋简体" w:eastAsia="方正小标宋简体" w:cs="方正小标宋简体"/>
          <w:b/>
          <w:bCs/>
          <w:sz w:val="44"/>
          <w:szCs w:val="44"/>
          <w:lang w:val="en-US" w:eastAsia="zh-CN"/>
        </w:rPr>
        <w:t>投标（</w:t>
      </w:r>
      <w:r>
        <w:rPr>
          <w:rFonts w:hint="eastAsia" w:ascii="方正小标宋简体" w:hAnsi="方正小标宋简体" w:eastAsia="方正小标宋简体" w:cs="方正小标宋简体"/>
          <w:b/>
          <w:bCs/>
          <w:sz w:val="44"/>
          <w:szCs w:val="44"/>
        </w:rPr>
        <w:t>报价</w:t>
      </w:r>
      <w:r>
        <w:rPr>
          <w:rFonts w:hint="eastAsia" w:ascii="方正小标宋简体" w:hAnsi="方正小标宋简体" w:eastAsia="方正小标宋简体" w:cs="方正小标宋简体"/>
          <w:b/>
          <w:bCs/>
          <w:sz w:val="44"/>
          <w:szCs w:val="44"/>
          <w:lang w:eastAsia="zh-CN"/>
        </w:rPr>
        <w:t>）</w:t>
      </w:r>
      <w:r>
        <w:rPr>
          <w:rFonts w:hint="eastAsia" w:ascii="方正小标宋简体" w:hAnsi="方正小标宋简体" w:eastAsia="方正小标宋简体" w:cs="方正小标宋简体"/>
          <w:b/>
          <w:bCs/>
          <w:sz w:val="44"/>
          <w:szCs w:val="44"/>
        </w:rPr>
        <w:t>须知</w:t>
      </w:r>
    </w:p>
    <w:p>
      <w:pPr>
        <w:numPr>
          <w:ilvl w:val="0"/>
          <w:numId w:val="1"/>
        </w:numPr>
        <w:shd w:val="clea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项目概况</w:t>
      </w:r>
    </w:p>
    <w:p>
      <w:pPr>
        <w:numPr>
          <w:ilvl w:val="0"/>
          <w:numId w:val="0"/>
        </w:numPr>
        <w:shd w:val="clea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w:t>
      </w:r>
      <w:r>
        <w:rPr>
          <w:rFonts w:hint="eastAsia" w:ascii="仿宋_GB2312" w:hAnsi="仿宋_GB2312" w:eastAsia="仿宋_GB2312" w:cs="仿宋_GB2312"/>
          <w:b w:val="0"/>
          <w:bCs w:val="0"/>
          <w:sz w:val="32"/>
          <w:szCs w:val="32"/>
        </w:rPr>
        <w:t>项目</w:t>
      </w:r>
      <w:r>
        <w:rPr>
          <w:rFonts w:hint="eastAsia" w:ascii="仿宋_GB2312" w:hAnsi="仿宋_GB2312" w:eastAsia="仿宋_GB2312" w:cs="仿宋_GB2312"/>
          <w:b w:val="0"/>
          <w:bCs w:val="0"/>
          <w:sz w:val="32"/>
          <w:szCs w:val="32"/>
          <w:lang w:val="en-US" w:eastAsia="zh-CN"/>
        </w:rPr>
        <w:t>名称</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广西警察学院配电设备运维服务采购项目。</w:t>
      </w:r>
    </w:p>
    <w:p>
      <w:pPr>
        <w:numPr>
          <w:ilvl w:val="0"/>
          <w:numId w:val="0"/>
        </w:numPr>
        <w:shd w:val="clear"/>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（二）主要内容：按照供</w:t>
      </w:r>
      <w:r>
        <w:rPr>
          <w:rFonts w:hint="eastAsia" w:ascii="仿宋_GB2312" w:hAnsi="仿宋_GB2312" w:eastAsia="仿宋_GB2312" w:cs="仿宋_GB2312"/>
          <w:sz w:val="32"/>
          <w:szCs w:val="32"/>
          <w:lang w:val="en-US" w:eastAsia="zh-CN"/>
        </w:rPr>
        <w:t>电局的相关规定，为我校</w:t>
      </w:r>
      <w:r>
        <w:rPr>
          <w:rFonts w:hint="eastAsia" w:ascii="仿宋_GB2312" w:hAnsi="仿宋_GB2312" w:eastAsia="仿宋_GB2312" w:cs="仿宋_GB2312"/>
          <w:i w:val="0"/>
          <w:iCs w:val="0"/>
          <w:caps w:val="0"/>
          <w:color w:val="auto"/>
          <w:spacing w:val="0"/>
          <w:sz w:val="32"/>
          <w:szCs w:val="32"/>
          <w:shd w:val="clear" w:fill="FFFFFF"/>
          <w:lang w:val="en-US" w:eastAsia="zh-CN"/>
        </w:rPr>
        <w:t>长湖校区、仙葫校区、五合校区的校园内高低压柜等配电设备日常维护及相关测试，保障学校各校区教学用电及生</w:t>
      </w:r>
      <w:r>
        <w:rPr>
          <w:rFonts w:hint="eastAsia" w:ascii="仿宋_GB2312" w:hAnsi="仿宋_GB2312" w:eastAsia="仿宋_GB2312" w:cs="仿宋_GB2312"/>
          <w:i w:val="0"/>
          <w:iCs w:val="0"/>
          <w:caps w:val="0"/>
          <w:color w:val="auto"/>
          <w:spacing w:val="0"/>
          <w:sz w:val="32"/>
          <w:szCs w:val="32"/>
          <w:shd w:val="clear"/>
          <w:lang w:val="en-US" w:eastAsia="zh-CN"/>
        </w:rPr>
        <w:t>活用电（</w:t>
      </w:r>
      <w:r>
        <w:rPr>
          <w:rFonts w:hint="eastAsia" w:ascii="仿宋_GB2312" w:hAnsi="仿宋_GB2312" w:eastAsia="仿宋_GB2312" w:cs="仿宋_GB2312"/>
          <w:i w:val="0"/>
          <w:iCs w:val="0"/>
          <w:caps w:val="0"/>
          <w:color w:val="auto"/>
          <w:spacing w:val="0"/>
          <w:sz w:val="32"/>
          <w:szCs w:val="32"/>
          <w:shd w:val="clear" w:color="FFFFFF"/>
          <w:lang w:val="en-US" w:eastAsia="zh-CN"/>
        </w:rPr>
        <w:t>附件2</w:t>
      </w:r>
      <w:r>
        <w:rPr>
          <w:rFonts w:hint="eastAsia" w:ascii="仿宋_GB2312" w:hAnsi="仿宋_GB2312" w:eastAsia="仿宋_GB2312" w:cs="仿宋_GB2312"/>
          <w:i w:val="0"/>
          <w:iCs w:val="0"/>
          <w:caps w:val="0"/>
          <w:color w:val="auto"/>
          <w:spacing w:val="0"/>
          <w:sz w:val="32"/>
          <w:szCs w:val="32"/>
          <w:shd w:val="clear"/>
          <w:lang w:val="en-US" w:eastAsia="zh-CN"/>
        </w:rPr>
        <w:t>）。</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服务期限为两年。</w:t>
      </w:r>
    </w:p>
    <w:p>
      <w:pPr>
        <w:numPr>
          <w:ilvl w:val="0"/>
          <w:numId w:val="0"/>
        </w:numPr>
        <w:shd w:val="clea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（三）预算总金额（元）</w:t>
      </w:r>
      <w:r>
        <w:rPr>
          <w:rFonts w:hint="eastAsia" w:ascii="仿宋_GB2312" w:hAnsi="仿宋_GB2312" w:eastAsia="仿宋_GB2312" w:cs="仿宋_GB2312"/>
          <w:b w:val="0"/>
          <w:bCs w:val="0"/>
          <w:i w:val="0"/>
          <w:iCs w:val="0"/>
          <w:caps w:val="0"/>
          <w:color w:val="auto"/>
          <w:spacing w:val="0"/>
          <w:sz w:val="32"/>
          <w:szCs w:val="32"/>
          <w:shd w:val="clear" w:fill="FFFFFF"/>
          <w:lang w:val="en-US" w:eastAsia="zh-CN"/>
        </w:rPr>
        <w:t>：</w:t>
      </w:r>
      <w:r>
        <w:rPr>
          <w:rFonts w:hint="eastAsia" w:ascii="仿宋_GB2312" w:hAnsi="仿宋_GB2312" w:eastAsia="仿宋_GB2312" w:cs="仿宋_GB2312"/>
          <w:b w:val="0"/>
          <w:bCs w:val="0"/>
          <w:sz w:val="32"/>
          <w:szCs w:val="32"/>
          <w:lang w:val="en-US" w:eastAsia="zh-CN"/>
        </w:rPr>
        <w:t>425840.00</w:t>
      </w:r>
    </w:p>
    <w:p>
      <w:pPr>
        <w:numPr>
          <w:ilvl w:val="0"/>
          <w:numId w:val="0"/>
        </w:numPr>
        <w:shd w:val="clea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二、报价要求</w:t>
      </w:r>
    </w:p>
    <w:p>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eastAsia" w:ascii="仿宋_GB2312" w:hAnsi="仿宋_GB2312" w:eastAsia="仿宋_GB2312" w:cs="仿宋_GB2312"/>
          <w:b w:val="0"/>
          <w:bCs w:val="0"/>
          <w:kern w:val="2"/>
          <w:sz w:val="32"/>
          <w:szCs w:val="32"/>
          <w:lang w:val="en-US" w:eastAsia="zh-CN" w:bidi="ar-SA"/>
        </w:rPr>
      </w:pPr>
      <w:r>
        <w:rPr>
          <w:rStyle w:val="10"/>
          <w:rFonts w:hint="eastAsia" w:ascii="仿宋_GB2312" w:hAnsi="仿宋_GB2312" w:eastAsia="仿宋_GB2312" w:cs="仿宋_GB2312"/>
          <w:i w:val="0"/>
          <w:caps w:val="0"/>
          <w:color w:val="000000"/>
          <w:spacing w:val="0"/>
          <w:sz w:val="32"/>
          <w:szCs w:val="32"/>
          <w:lang w:eastAsia="zh-CN"/>
        </w:rPr>
        <w:t>（</w:t>
      </w:r>
      <w:r>
        <w:rPr>
          <w:rStyle w:val="10"/>
          <w:rFonts w:hint="eastAsia" w:ascii="仿宋_GB2312" w:hAnsi="仿宋_GB2312" w:eastAsia="仿宋_GB2312" w:cs="仿宋_GB2312"/>
          <w:i w:val="0"/>
          <w:caps w:val="0"/>
          <w:color w:val="000000"/>
          <w:spacing w:val="0"/>
          <w:sz w:val="32"/>
          <w:szCs w:val="32"/>
          <w:lang w:val="en-US" w:eastAsia="zh-CN"/>
        </w:rPr>
        <w:t>一</w:t>
      </w:r>
      <w:r>
        <w:rPr>
          <w:rStyle w:val="10"/>
          <w:rFonts w:hint="eastAsia" w:ascii="仿宋_GB2312" w:hAnsi="仿宋_GB2312" w:eastAsia="仿宋_GB2312" w:cs="仿宋_GB2312"/>
          <w:i w:val="0"/>
          <w:caps w:val="0"/>
          <w:color w:val="000000"/>
          <w:spacing w:val="0"/>
          <w:sz w:val="32"/>
          <w:szCs w:val="32"/>
          <w:lang w:eastAsia="zh-CN"/>
        </w:rPr>
        <w:t>）</w:t>
      </w:r>
      <w:r>
        <w:rPr>
          <w:rStyle w:val="10"/>
          <w:rFonts w:hint="eastAsia" w:ascii="仿宋_GB2312" w:hAnsi="仿宋_GB2312" w:eastAsia="仿宋_GB2312" w:cs="仿宋_GB2312"/>
          <w:i w:val="0"/>
          <w:caps w:val="0"/>
          <w:color w:val="000000"/>
          <w:spacing w:val="0"/>
          <w:sz w:val="32"/>
          <w:szCs w:val="32"/>
        </w:rPr>
        <w:t>报价人资格要求：</w:t>
      </w:r>
    </w:p>
    <w:p>
      <w:pPr>
        <w:numPr>
          <w:ilvl w:val="0"/>
          <w:numId w:val="0"/>
        </w:numPr>
        <w:shd w:val="clear"/>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1.国内注册（指按国家有关规定要求注册的），具有承装、修、试电力设施五级或以上资质。</w:t>
      </w:r>
    </w:p>
    <w:p>
      <w:pPr>
        <w:numPr>
          <w:ilvl w:val="0"/>
          <w:numId w:val="0"/>
        </w:numPr>
        <w:shd w:val="clear"/>
        <w:ind w:firstLine="640" w:firstLineChars="200"/>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lang w:val="en-US" w:eastAsia="zh-CN"/>
        </w:rPr>
        <w:t>2.</w:t>
      </w:r>
      <w:r>
        <w:rPr>
          <w:rFonts w:hint="eastAsia" w:ascii="仿宋_GB2312" w:hAnsi="仿宋_GB2312" w:eastAsia="仿宋_GB2312" w:cs="仿宋_GB2312"/>
          <w:i w:val="0"/>
          <w:caps w:val="0"/>
          <w:color w:val="000000"/>
          <w:spacing w:val="0"/>
          <w:sz w:val="32"/>
          <w:szCs w:val="32"/>
        </w:rPr>
        <w:t>近三年在学校采购项目中没有合同违约、弃标等不良行为记录的。</w:t>
      </w:r>
    </w:p>
    <w:p>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rPr>
      </w:pPr>
      <w:r>
        <w:rPr>
          <w:rStyle w:val="10"/>
          <w:rFonts w:hint="eastAsia" w:ascii="仿宋_GB2312" w:hAnsi="仿宋_GB2312" w:eastAsia="仿宋_GB2312" w:cs="仿宋_GB2312"/>
          <w:i w:val="0"/>
          <w:caps w:val="0"/>
          <w:color w:val="000000"/>
          <w:spacing w:val="0"/>
          <w:sz w:val="32"/>
          <w:szCs w:val="32"/>
          <w:lang w:eastAsia="zh-CN"/>
        </w:rPr>
        <w:t>（</w:t>
      </w:r>
      <w:r>
        <w:rPr>
          <w:rStyle w:val="10"/>
          <w:rFonts w:hint="eastAsia" w:ascii="仿宋_GB2312" w:hAnsi="仿宋_GB2312" w:eastAsia="仿宋_GB2312" w:cs="仿宋_GB2312"/>
          <w:i w:val="0"/>
          <w:caps w:val="0"/>
          <w:color w:val="000000"/>
          <w:spacing w:val="0"/>
          <w:sz w:val="32"/>
          <w:szCs w:val="32"/>
          <w:lang w:val="en-US" w:eastAsia="zh-CN"/>
        </w:rPr>
        <w:t>二</w:t>
      </w:r>
      <w:r>
        <w:rPr>
          <w:rStyle w:val="10"/>
          <w:rFonts w:hint="eastAsia" w:ascii="仿宋_GB2312" w:hAnsi="仿宋_GB2312" w:eastAsia="仿宋_GB2312" w:cs="仿宋_GB2312"/>
          <w:i w:val="0"/>
          <w:caps w:val="0"/>
          <w:color w:val="000000"/>
          <w:spacing w:val="0"/>
          <w:sz w:val="32"/>
          <w:szCs w:val="32"/>
          <w:lang w:eastAsia="zh-CN"/>
        </w:rPr>
        <w:t>）</w:t>
      </w:r>
      <w:r>
        <w:rPr>
          <w:rStyle w:val="10"/>
          <w:rFonts w:hint="eastAsia" w:ascii="仿宋_GB2312" w:hAnsi="仿宋_GB2312" w:eastAsia="仿宋_GB2312" w:cs="仿宋_GB2312"/>
          <w:i w:val="0"/>
          <w:caps w:val="0"/>
          <w:color w:val="000000"/>
          <w:spacing w:val="0"/>
          <w:sz w:val="32"/>
          <w:szCs w:val="32"/>
        </w:rPr>
        <w:t>报价材料要求：</w:t>
      </w:r>
    </w:p>
    <w:p>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val="en-US" w:eastAsia="zh-CN"/>
        </w:rPr>
        <w:t>1.报名表（附件3）；</w:t>
      </w:r>
      <w:r>
        <w:rPr>
          <w:rStyle w:val="10"/>
          <w:rFonts w:hint="eastAsia" w:ascii="仿宋_GB2312" w:hAnsi="仿宋_GB2312" w:eastAsia="仿宋_GB2312" w:cs="仿宋_GB2312"/>
          <w:i w:val="0"/>
          <w:caps w:val="0"/>
          <w:color w:val="000000"/>
          <w:spacing w:val="0"/>
          <w:sz w:val="32"/>
          <w:szCs w:val="32"/>
          <w:lang w:val="en-US" w:eastAsia="zh-CN"/>
        </w:rPr>
        <w:t>（必须提供）</w:t>
      </w:r>
    </w:p>
    <w:p>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0"/>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val="en-US" w:eastAsia="zh-CN"/>
        </w:rPr>
        <w:t>2.报价单（附件4）；</w:t>
      </w:r>
      <w:r>
        <w:rPr>
          <w:rStyle w:val="10"/>
          <w:rFonts w:hint="eastAsia" w:ascii="仿宋_GB2312" w:hAnsi="仿宋_GB2312" w:eastAsia="仿宋_GB2312" w:cs="仿宋_GB2312"/>
          <w:i w:val="0"/>
          <w:caps w:val="0"/>
          <w:color w:val="000000"/>
          <w:spacing w:val="0"/>
          <w:sz w:val="32"/>
          <w:szCs w:val="32"/>
          <w:lang w:val="en-US" w:eastAsia="zh-CN"/>
        </w:rPr>
        <w:t>（必须提供）</w:t>
      </w:r>
    </w:p>
    <w:p>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0"/>
          <w:rFonts w:hint="eastAsia" w:ascii="仿宋_GB2312" w:hAnsi="仿宋_GB2312" w:eastAsia="仿宋_GB2312" w:cs="仿宋_GB2312"/>
          <w:i w:val="0"/>
          <w:caps w:val="0"/>
          <w:color w:val="000000"/>
          <w:spacing w:val="0"/>
          <w:sz w:val="32"/>
          <w:szCs w:val="32"/>
          <w:lang w:val="en-US" w:eastAsia="zh-CN"/>
        </w:rPr>
      </w:pPr>
      <w:r>
        <w:rPr>
          <w:rStyle w:val="10"/>
          <w:rFonts w:hint="eastAsia" w:ascii="仿宋_GB2312" w:hAnsi="仿宋_GB2312" w:eastAsia="仿宋_GB2312" w:cs="仿宋_GB2312"/>
          <w:b w:val="0"/>
          <w:bCs/>
          <w:i w:val="0"/>
          <w:caps w:val="0"/>
          <w:color w:val="000000"/>
          <w:spacing w:val="0"/>
          <w:sz w:val="32"/>
          <w:szCs w:val="32"/>
          <w:lang w:val="en-US" w:eastAsia="zh-CN"/>
        </w:rPr>
        <w:t>3.投标（响应）保证金回执单；</w:t>
      </w:r>
      <w:r>
        <w:rPr>
          <w:rStyle w:val="10"/>
          <w:rFonts w:hint="eastAsia" w:ascii="仿宋_GB2312" w:hAnsi="仿宋_GB2312" w:eastAsia="仿宋_GB2312" w:cs="仿宋_GB2312"/>
          <w:i w:val="0"/>
          <w:caps w:val="0"/>
          <w:color w:val="000000"/>
          <w:spacing w:val="0"/>
          <w:sz w:val="32"/>
          <w:szCs w:val="32"/>
          <w:lang w:val="en-US" w:eastAsia="zh-CN"/>
        </w:rPr>
        <w:t>（必须提供）</w:t>
      </w:r>
    </w:p>
    <w:p>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rPr>
      </w:pPr>
      <w:r>
        <w:rPr>
          <w:rStyle w:val="10"/>
          <w:rFonts w:hint="eastAsia" w:ascii="仿宋_GB2312" w:hAnsi="仿宋_GB2312" w:eastAsia="仿宋_GB2312" w:cs="仿宋_GB2312"/>
          <w:b w:val="0"/>
          <w:bCs/>
          <w:i w:val="0"/>
          <w:caps w:val="0"/>
          <w:color w:val="000000"/>
          <w:spacing w:val="0"/>
          <w:sz w:val="32"/>
          <w:szCs w:val="32"/>
          <w:lang w:val="en-US" w:eastAsia="zh-CN"/>
        </w:rPr>
        <w:t>4.</w:t>
      </w:r>
      <w:r>
        <w:rPr>
          <w:rFonts w:hint="eastAsia" w:ascii="仿宋_GB2312" w:hAnsi="仿宋_GB2312" w:eastAsia="仿宋_GB2312" w:cs="仿宋_GB2312"/>
          <w:b w:val="0"/>
          <w:bCs/>
          <w:i w:val="0"/>
          <w:caps w:val="0"/>
          <w:color w:val="000000"/>
          <w:spacing w:val="0"/>
          <w:sz w:val="32"/>
          <w:szCs w:val="32"/>
        </w:rPr>
        <w:t>供应商合法</w:t>
      </w:r>
      <w:r>
        <w:rPr>
          <w:rFonts w:hint="eastAsia" w:ascii="仿宋_GB2312" w:hAnsi="仿宋_GB2312" w:eastAsia="仿宋_GB2312" w:cs="仿宋_GB2312"/>
          <w:i w:val="0"/>
          <w:caps w:val="0"/>
          <w:color w:val="000000"/>
          <w:spacing w:val="0"/>
          <w:sz w:val="32"/>
          <w:szCs w:val="32"/>
        </w:rPr>
        <w:t>的资格证明（如营业执照、事业单位法人证书、执业许可证等）复印件；</w:t>
      </w:r>
      <w:r>
        <w:rPr>
          <w:rStyle w:val="10"/>
          <w:rFonts w:hint="eastAsia" w:ascii="仿宋_GB2312" w:hAnsi="仿宋_GB2312" w:eastAsia="仿宋_GB2312" w:cs="仿宋_GB2312"/>
          <w:i w:val="0"/>
          <w:caps w:val="0"/>
          <w:color w:val="000000"/>
          <w:spacing w:val="0"/>
          <w:sz w:val="32"/>
          <w:szCs w:val="32"/>
        </w:rPr>
        <w:t>（必须提供）</w:t>
      </w:r>
    </w:p>
    <w:p>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lang w:val="en-US" w:eastAsia="zh-CN"/>
        </w:rPr>
        <w:t>5.</w:t>
      </w:r>
      <w:r>
        <w:rPr>
          <w:rFonts w:hint="eastAsia" w:ascii="仿宋_GB2312" w:hAnsi="仿宋_GB2312" w:eastAsia="仿宋_GB2312" w:cs="仿宋_GB2312"/>
          <w:i w:val="0"/>
          <w:caps w:val="0"/>
          <w:color w:val="000000"/>
          <w:spacing w:val="0"/>
          <w:sz w:val="32"/>
          <w:szCs w:val="32"/>
        </w:rPr>
        <w:t>供应商法定代表人有效身份证正反面复印件；</w:t>
      </w:r>
      <w:r>
        <w:rPr>
          <w:rStyle w:val="10"/>
          <w:rFonts w:hint="eastAsia" w:ascii="仿宋_GB2312" w:hAnsi="仿宋_GB2312" w:eastAsia="仿宋_GB2312" w:cs="仿宋_GB2312"/>
          <w:i w:val="0"/>
          <w:caps w:val="0"/>
          <w:color w:val="000000"/>
          <w:spacing w:val="0"/>
          <w:sz w:val="32"/>
          <w:szCs w:val="32"/>
        </w:rPr>
        <w:t>（必须提供）</w:t>
      </w:r>
    </w:p>
    <w:p>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lang w:val="en-US" w:eastAsia="zh-CN"/>
        </w:rPr>
        <w:t>6.</w:t>
      </w:r>
      <w:r>
        <w:rPr>
          <w:rFonts w:hint="eastAsia" w:ascii="仿宋_GB2312" w:hAnsi="仿宋_GB2312" w:eastAsia="仿宋_GB2312" w:cs="仿宋_GB2312"/>
          <w:i w:val="0"/>
          <w:caps w:val="0"/>
          <w:color w:val="000000"/>
          <w:spacing w:val="0"/>
          <w:sz w:val="32"/>
          <w:szCs w:val="32"/>
        </w:rPr>
        <w:t>供应商法定代表人授权委托书原件（附件</w:t>
      </w:r>
      <w:r>
        <w:rPr>
          <w:rFonts w:hint="eastAsia" w:ascii="仿宋_GB2312" w:hAnsi="仿宋_GB2312" w:eastAsia="仿宋_GB2312" w:cs="仿宋_GB2312"/>
          <w:i w:val="0"/>
          <w:caps w:val="0"/>
          <w:color w:val="000000"/>
          <w:spacing w:val="0"/>
          <w:sz w:val="32"/>
          <w:szCs w:val="32"/>
          <w:lang w:val="en-US" w:eastAsia="zh-CN"/>
        </w:rPr>
        <w:t>5</w:t>
      </w:r>
      <w:r>
        <w:rPr>
          <w:rFonts w:hint="eastAsia" w:ascii="仿宋_GB2312" w:hAnsi="仿宋_GB2312" w:eastAsia="仿宋_GB2312" w:cs="仿宋_GB2312"/>
          <w:i w:val="0"/>
          <w:caps w:val="0"/>
          <w:color w:val="000000"/>
          <w:spacing w:val="0"/>
          <w:sz w:val="32"/>
          <w:szCs w:val="32"/>
        </w:rPr>
        <w:t>），及被授权人有效身份证正反面复印件；</w:t>
      </w:r>
      <w:r>
        <w:rPr>
          <w:rStyle w:val="10"/>
          <w:rFonts w:hint="eastAsia" w:ascii="仿宋_GB2312" w:hAnsi="仿宋_GB2312" w:eastAsia="仿宋_GB2312" w:cs="仿宋_GB2312"/>
          <w:i w:val="0"/>
          <w:caps w:val="0"/>
          <w:color w:val="000000"/>
          <w:spacing w:val="0"/>
          <w:sz w:val="32"/>
          <w:szCs w:val="32"/>
        </w:rPr>
        <w:t>（委托代理时必须提供）</w:t>
      </w:r>
    </w:p>
    <w:p>
      <w:pPr>
        <w:pStyle w:val="8"/>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0"/>
          <w:rFonts w:hint="eastAsia" w:ascii="仿宋_GB2312" w:hAnsi="仿宋_GB2312" w:eastAsia="仿宋_GB2312" w:cs="仿宋_GB2312"/>
          <w:b w:val="0"/>
          <w:bCs/>
          <w:i w:val="0"/>
          <w:caps w:val="0"/>
          <w:color w:val="000000"/>
          <w:spacing w:val="0"/>
          <w:sz w:val="32"/>
          <w:szCs w:val="32"/>
          <w:lang w:val="en-US" w:eastAsia="zh-CN"/>
        </w:rPr>
      </w:pPr>
      <w:r>
        <w:rPr>
          <w:rStyle w:val="10"/>
          <w:rFonts w:hint="eastAsia" w:ascii="仿宋_GB2312" w:hAnsi="仿宋_GB2312" w:eastAsia="仿宋_GB2312" w:cs="仿宋_GB2312"/>
          <w:i w:val="0"/>
          <w:caps w:val="0"/>
          <w:color w:val="000000"/>
          <w:spacing w:val="0"/>
          <w:sz w:val="32"/>
          <w:szCs w:val="32"/>
        </w:rPr>
        <w:t>注：</w:t>
      </w:r>
      <w:r>
        <w:rPr>
          <w:rStyle w:val="10"/>
          <w:rFonts w:hint="eastAsia" w:ascii="仿宋_GB2312" w:hAnsi="仿宋_GB2312" w:eastAsia="仿宋_GB2312" w:cs="仿宋_GB2312"/>
          <w:b w:val="0"/>
          <w:bCs/>
          <w:i w:val="0"/>
          <w:caps w:val="0"/>
          <w:color w:val="000000"/>
          <w:spacing w:val="0"/>
          <w:sz w:val="32"/>
          <w:szCs w:val="32"/>
          <w:lang w:val="en-US" w:eastAsia="zh-CN"/>
        </w:rPr>
        <w:t>以上材料均需加盖公章为有效。</w:t>
      </w:r>
    </w:p>
    <w:p>
      <w:pPr>
        <w:pStyle w:val="8"/>
        <w:keepNext w:val="0"/>
        <w:keepLines w:val="0"/>
        <w:pageBreakBefore w:val="0"/>
        <w:widowControl/>
        <w:numPr>
          <w:numId w:val="0"/>
        </w:numPr>
        <w:suppressLineNumbers w:val="0"/>
        <w:shd w:val="clear"/>
        <w:kinsoku/>
        <w:wordWrap/>
        <w:overflowPunct/>
        <w:topLinePunct w:val="0"/>
        <w:autoSpaceDE/>
        <w:autoSpaceDN/>
        <w:bidi w:val="0"/>
        <w:adjustRightInd/>
        <w:snapToGrid/>
        <w:spacing w:beforeAutospacing="0" w:afterAutospacing="0" w:line="560" w:lineRule="exact"/>
        <w:ind w:left="480" w:leftChars="0" w:right="0" w:rightChars="0"/>
        <w:textAlignment w:val="auto"/>
        <w:outlineLvl w:val="9"/>
        <w:rPr>
          <w:rFonts w:hint="eastAsia" w:ascii="仿宋_GB2312" w:hAnsi="仿宋_GB2312" w:eastAsia="仿宋_GB2312" w:cs="仿宋_GB2312"/>
          <w:color w:val="auto"/>
          <w:sz w:val="32"/>
          <w:szCs w:val="32"/>
          <w:u w:val="none"/>
          <w:lang w:val="en-US" w:eastAsia="zh-CN"/>
        </w:rPr>
      </w:pPr>
      <w:r>
        <w:rPr>
          <w:rStyle w:val="10"/>
          <w:rFonts w:hint="eastAsia" w:ascii="仿宋_GB2312" w:hAnsi="仿宋_GB2312" w:eastAsia="仿宋_GB2312" w:cs="仿宋_GB2312"/>
          <w:i w:val="0"/>
          <w:caps w:val="0"/>
          <w:color w:val="000000"/>
          <w:spacing w:val="0"/>
          <w:sz w:val="32"/>
          <w:szCs w:val="32"/>
          <w:lang w:eastAsia="zh-CN"/>
        </w:rPr>
        <w:t>（</w:t>
      </w:r>
      <w:r>
        <w:rPr>
          <w:rStyle w:val="10"/>
          <w:rFonts w:hint="eastAsia" w:ascii="仿宋_GB2312" w:hAnsi="仿宋_GB2312" w:eastAsia="仿宋_GB2312" w:cs="仿宋_GB2312"/>
          <w:i w:val="0"/>
          <w:caps w:val="0"/>
          <w:color w:val="000000"/>
          <w:spacing w:val="0"/>
          <w:sz w:val="32"/>
          <w:szCs w:val="32"/>
          <w:lang w:val="en-US" w:eastAsia="zh-CN"/>
        </w:rPr>
        <w:t>三</w:t>
      </w:r>
      <w:r>
        <w:rPr>
          <w:rStyle w:val="10"/>
          <w:rFonts w:hint="eastAsia" w:ascii="仿宋_GB2312" w:hAnsi="仿宋_GB2312" w:eastAsia="仿宋_GB2312" w:cs="仿宋_GB2312"/>
          <w:i w:val="0"/>
          <w:caps w:val="0"/>
          <w:color w:val="000000"/>
          <w:spacing w:val="0"/>
          <w:sz w:val="32"/>
          <w:szCs w:val="32"/>
          <w:lang w:eastAsia="zh-CN"/>
        </w:rPr>
        <w:t>）</w:t>
      </w:r>
      <w:r>
        <w:rPr>
          <w:rStyle w:val="10"/>
          <w:rFonts w:hint="eastAsia" w:ascii="仿宋_GB2312" w:hAnsi="仿宋_GB2312" w:eastAsia="仿宋_GB2312" w:cs="仿宋_GB2312"/>
          <w:i w:val="0"/>
          <w:caps w:val="0"/>
          <w:color w:val="000000"/>
          <w:spacing w:val="0"/>
          <w:sz w:val="32"/>
          <w:szCs w:val="32"/>
        </w:rPr>
        <w:t>报价时间和地点：</w:t>
      </w:r>
    </w:p>
    <w:p>
      <w:pPr>
        <w:pStyle w:val="8"/>
        <w:keepNext w:val="0"/>
        <w:keepLines w:val="0"/>
        <w:pageBreakBefore w:val="0"/>
        <w:widowControl/>
        <w:numPr>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0" w:firstLineChars="200"/>
        <w:textAlignment w:val="auto"/>
        <w:outlineLvl w:val="9"/>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sz w:val="32"/>
          <w:szCs w:val="32"/>
          <w:lang w:val="en-US" w:eastAsia="zh-CN"/>
        </w:rPr>
        <w:t>1.截止时</w:t>
      </w:r>
      <w:r>
        <w:rPr>
          <w:rFonts w:hint="eastAsia" w:ascii="仿宋_GB2312" w:hAnsi="仿宋_GB2312" w:eastAsia="仿宋_GB2312" w:cs="仿宋_GB2312"/>
          <w:i w:val="0"/>
          <w:caps w:val="0"/>
          <w:color w:val="000000"/>
          <w:spacing w:val="0"/>
          <w:sz w:val="32"/>
          <w:szCs w:val="32"/>
          <w:lang w:val="en-US" w:eastAsia="zh-CN"/>
        </w:rPr>
        <w:t>间：2024年4月25日17:00。</w:t>
      </w:r>
    </w:p>
    <w:p>
      <w:pPr>
        <w:pStyle w:val="8"/>
        <w:keepNext w:val="0"/>
        <w:keepLines w:val="0"/>
        <w:pageBreakBefore w:val="0"/>
        <w:widowControl/>
        <w:numPr>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0" w:firstLineChars="200"/>
        <w:textAlignment w:val="auto"/>
        <w:outlineLvl w:val="9"/>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val="en-US" w:eastAsia="zh-CN"/>
        </w:rPr>
        <w:t>2.报名方式：</w:t>
      </w:r>
      <w:r>
        <w:rPr>
          <w:rFonts w:hint="eastAsia" w:ascii="仿宋_GB2312" w:hAnsi="仿宋_GB2312" w:eastAsia="仿宋_GB2312" w:cs="仿宋_GB2312"/>
          <w:i w:val="0"/>
          <w:caps w:val="0"/>
          <w:color w:val="000000"/>
          <w:spacing w:val="0"/>
          <w:sz w:val="32"/>
          <w:szCs w:val="32"/>
          <w:lang w:val="en-US" w:eastAsia="zh-CN"/>
        </w:rPr>
        <w:fldChar w:fldCharType="begin"/>
      </w:r>
      <w:r>
        <w:rPr>
          <w:rFonts w:hint="eastAsia" w:ascii="仿宋_GB2312" w:hAnsi="仿宋_GB2312" w:eastAsia="仿宋_GB2312" w:cs="仿宋_GB2312"/>
          <w:i w:val="0"/>
          <w:caps w:val="0"/>
          <w:color w:val="000000"/>
          <w:spacing w:val="0"/>
          <w:sz w:val="32"/>
          <w:szCs w:val="32"/>
          <w:lang w:val="en-US" w:eastAsia="zh-CN"/>
        </w:rPr>
        <w:instrText xml:space="preserve"> HYPERLINK "mailto:将《报名表》及投标保证金转账回执单的扫描件发送至邮箱gxjygz@163.com（发送成功会有已接收回复邮件）。截标时间前报名有效（以邮件接收时间为准）。" </w:instrText>
      </w:r>
      <w:r>
        <w:rPr>
          <w:rFonts w:hint="eastAsia" w:ascii="仿宋_GB2312" w:hAnsi="仿宋_GB2312" w:eastAsia="仿宋_GB2312" w:cs="仿宋_GB2312"/>
          <w:i w:val="0"/>
          <w:caps w:val="0"/>
          <w:color w:val="000000"/>
          <w:spacing w:val="0"/>
          <w:sz w:val="32"/>
          <w:szCs w:val="32"/>
          <w:lang w:val="en-US" w:eastAsia="zh-CN"/>
        </w:rPr>
        <w:fldChar w:fldCharType="separate"/>
      </w:r>
      <w:r>
        <w:rPr>
          <w:rFonts w:hint="eastAsia" w:ascii="仿宋_GB2312" w:hAnsi="仿宋_GB2312" w:eastAsia="仿宋_GB2312" w:cs="仿宋_GB2312"/>
          <w:i w:val="0"/>
          <w:caps w:val="0"/>
          <w:color w:val="000000"/>
          <w:spacing w:val="0"/>
          <w:sz w:val="32"/>
          <w:szCs w:val="32"/>
          <w:lang w:val="en-US" w:eastAsia="zh-CN"/>
        </w:rPr>
        <w:t>将《报名表》及投标（响应）保证金转账回执单的扫描件（加盖公章有效）发送至邮箱gxjygz@163.com。截止时间前报名有效（以邮件接收时间为准）。</w:t>
      </w:r>
      <w:r>
        <w:rPr>
          <w:rFonts w:hint="eastAsia" w:ascii="仿宋_GB2312" w:hAnsi="仿宋_GB2312" w:eastAsia="仿宋_GB2312" w:cs="仿宋_GB2312"/>
          <w:i w:val="0"/>
          <w:caps w:val="0"/>
          <w:color w:val="000000"/>
          <w:spacing w:val="0"/>
          <w:sz w:val="32"/>
          <w:szCs w:val="32"/>
          <w:lang w:val="en-US" w:eastAsia="zh-CN"/>
        </w:rPr>
        <w:fldChar w:fldCharType="end"/>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u w:val="none"/>
          <w:lang w:val="en-US" w:eastAsia="zh-CN"/>
        </w:rPr>
      </w:pPr>
      <w:r>
        <w:rPr>
          <w:rStyle w:val="11"/>
          <w:rFonts w:hint="eastAsia" w:ascii="仿宋_GB2312" w:hAnsi="仿宋_GB2312" w:eastAsia="仿宋_GB2312" w:cs="仿宋_GB2312"/>
          <w:color w:val="auto"/>
          <w:kern w:val="2"/>
          <w:sz w:val="32"/>
          <w:szCs w:val="32"/>
          <w:u w:val="none"/>
          <w:lang w:val="en-US" w:eastAsia="zh-CN" w:bidi="ar-SA"/>
        </w:rPr>
        <w:t>根据桂财采〔2022〕30号文件有关精神，本项目收取预算金额1%</w:t>
      </w:r>
      <w:r>
        <w:rPr>
          <w:rFonts w:hint="eastAsia" w:ascii="仿宋_GB2312" w:hAnsi="仿宋_GB2312" w:eastAsia="仿宋_GB2312" w:cs="仿宋_GB2312"/>
          <w:sz w:val="32"/>
          <w:szCs w:val="32"/>
          <w:lang w:val="en-US" w:eastAsia="zh-CN"/>
        </w:rPr>
        <w:t>（人民币4258.40元）作为投标（响应）保证金，并依法退还（原途）。</w:t>
      </w:r>
      <w:r>
        <w:rPr>
          <w:rStyle w:val="11"/>
          <w:rFonts w:hint="eastAsia" w:ascii="仿宋_GB2312" w:hAnsi="仿宋_GB2312" w:eastAsia="仿宋_GB2312" w:cs="仿宋_GB2312"/>
          <w:color w:val="auto"/>
          <w:sz w:val="32"/>
          <w:szCs w:val="32"/>
          <w:u w:val="none"/>
          <w:lang w:val="en-US" w:eastAsia="zh-CN"/>
        </w:rPr>
        <w:t>保证金必须通过投标企业的银行账户转帐，并在转帐单上备注项目名称并明确用途。</w:t>
      </w:r>
    </w:p>
    <w:p>
      <w:pPr>
        <w:shd w:val="clear"/>
        <w:ind w:firstLine="640" w:firstLineChars="200"/>
        <w:rPr>
          <w:rStyle w:val="11"/>
          <w:rFonts w:hint="eastAsia" w:ascii="仿宋_GB2312" w:hAnsi="仿宋_GB2312" w:eastAsia="仿宋_GB2312" w:cs="仿宋_GB2312"/>
          <w:color w:val="auto"/>
          <w:sz w:val="32"/>
          <w:szCs w:val="32"/>
          <w:u w:val="none"/>
          <w:lang w:val="en-US" w:eastAsia="zh-CN"/>
        </w:rPr>
      </w:pPr>
      <w:r>
        <w:rPr>
          <w:rStyle w:val="11"/>
          <w:rFonts w:hint="eastAsia" w:ascii="仿宋_GB2312" w:hAnsi="仿宋_GB2312" w:eastAsia="仿宋_GB2312" w:cs="仿宋_GB2312"/>
          <w:color w:val="auto"/>
          <w:sz w:val="32"/>
          <w:szCs w:val="32"/>
          <w:u w:val="none"/>
          <w:lang w:val="en-US" w:eastAsia="zh-CN"/>
        </w:rPr>
        <w:t>投标</w:t>
      </w:r>
      <w:r>
        <w:rPr>
          <w:rFonts w:hint="eastAsia" w:ascii="仿宋_GB2312" w:hAnsi="仿宋_GB2312" w:eastAsia="仿宋_GB2312" w:cs="仿宋_GB2312"/>
          <w:sz w:val="32"/>
          <w:szCs w:val="32"/>
          <w:lang w:val="en-US" w:eastAsia="zh-CN"/>
        </w:rPr>
        <w:t>（响应）</w:t>
      </w:r>
      <w:r>
        <w:rPr>
          <w:rStyle w:val="11"/>
          <w:rFonts w:hint="eastAsia" w:ascii="仿宋_GB2312" w:hAnsi="仿宋_GB2312" w:eastAsia="仿宋_GB2312" w:cs="仿宋_GB2312"/>
          <w:color w:val="auto"/>
          <w:sz w:val="32"/>
          <w:szCs w:val="32"/>
          <w:u w:val="none"/>
          <w:lang w:val="en-US" w:eastAsia="zh-CN"/>
        </w:rPr>
        <w:t>保证金账户名：广西警察学院；</w:t>
      </w:r>
    </w:p>
    <w:p>
      <w:pPr>
        <w:shd w:val="clear"/>
        <w:ind w:firstLine="640" w:firstLineChars="200"/>
        <w:rPr>
          <w:rStyle w:val="11"/>
          <w:rFonts w:hint="eastAsia" w:ascii="仿宋_GB2312" w:hAnsi="仿宋_GB2312" w:eastAsia="仿宋_GB2312" w:cs="仿宋_GB2312"/>
          <w:color w:val="auto"/>
          <w:sz w:val="32"/>
          <w:szCs w:val="32"/>
          <w:u w:val="none"/>
          <w:lang w:val="en-US" w:eastAsia="zh-CN"/>
        </w:rPr>
      </w:pPr>
      <w:r>
        <w:rPr>
          <w:rStyle w:val="11"/>
          <w:rFonts w:hint="eastAsia" w:ascii="仿宋_GB2312" w:hAnsi="仿宋_GB2312" w:eastAsia="仿宋_GB2312" w:cs="仿宋_GB2312"/>
          <w:color w:val="auto"/>
          <w:sz w:val="32"/>
          <w:szCs w:val="32"/>
          <w:u w:val="none"/>
          <w:lang w:val="en-US" w:eastAsia="zh-CN"/>
        </w:rPr>
        <w:t>账号：617159392963；</w:t>
      </w:r>
    </w:p>
    <w:p>
      <w:pPr>
        <w:shd w:val="clear"/>
        <w:ind w:firstLine="640" w:firstLineChars="200"/>
        <w:rPr>
          <w:rStyle w:val="11"/>
          <w:rFonts w:hint="default" w:ascii="仿宋_GB2312" w:hAnsi="仿宋_GB2312" w:eastAsia="仿宋_GB2312" w:cs="仿宋_GB2312"/>
          <w:color w:val="auto"/>
          <w:sz w:val="32"/>
          <w:szCs w:val="32"/>
          <w:u w:val="none"/>
          <w:lang w:val="en-US" w:eastAsia="zh-CN"/>
        </w:rPr>
      </w:pPr>
      <w:r>
        <w:rPr>
          <w:rStyle w:val="11"/>
          <w:rFonts w:hint="eastAsia" w:ascii="仿宋_GB2312" w:hAnsi="仿宋_GB2312" w:eastAsia="仿宋_GB2312" w:cs="仿宋_GB2312"/>
          <w:color w:val="auto"/>
          <w:sz w:val="32"/>
          <w:szCs w:val="32"/>
          <w:u w:val="none"/>
          <w:lang w:val="en-US" w:eastAsia="zh-CN"/>
        </w:rPr>
        <w:t>开户银行：中国银行东葛支行。</w:t>
      </w:r>
    </w:p>
    <w:p>
      <w:pPr>
        <w:numPr>
          <w:ilvl w:val="0"/>
          <w:numId w:val="0"/>
        </w:numPr>
        <w:shd w:val="clea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bookmarkStart w:id="0" w:name="_GoBack"/>
      <w:bookmarkEnd w:id="0"/>
      <w:r>
        <w:rPr>
          <w:rFonts w:hint="eastAsia" w:ascii="仿宋_GB2312" w:hAnsi="仿宋_GB2312" w:eastAsia="仿宋_GB2312" w:cs="仿宋_GB2312"/>
          <w:sz w:val="32"/>
          <w:szCs w:val="32"/>
          <w:lang w:val="en-US" w:eastAsia="zh-CN"/>
        </w:rPr>
        <w:t>报价方式：报名成功后，</w:t>
      </w:r>
      <w:r>
        <w:rPr>
          <w:rFonts w:hint="eastAsia" w:ascii="仿宋_GB2312" w:hAnsi="仿宋_GB2312" w:eastAsia="仿宋_GB2312" w:cs="仿宋_GB2312"/>
          <w:b w:val="0"/>
          <w:bCs w:val="0"/>
          <w:sz w:val="32"/>
          <w:szCs w:val="32"/>
          <w:u w:val="none"/>
          <w:lang w:val="en-US" w:eastAsia="zh-CN"/>
        </w:rPr>
        <w:t>将报价资料</w:t>
      </w: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b/>
          <w:bCs/>
          <w:sz w:val="32"/>
          <w:szCs w:val="32"/>
          <w:lang w:val="en-US" w:eastAsia="zh-CN"/>
        </w:rPr>
        <w:t>邮寄</w:t>
      </w:r>
      <w:r>
        <w:rPr>
          <w:rFonts w:hint="eastAsia" w:ascii="仿宋_GB2312" w:hAnsi="仿宋_GB2312" w:eastAsia="仿宋_GB2312" w:cs="仿宋_GB2312"/>
          <w:sz w:val="32"/>
          <w:szCs w:val="32"/>
          <w:lang w:val="en-US" w:eastAsia="zh-CN"/>
        </w:rPr>
        <w:t>的方式进行报价，必须密封包装，外封面须注明项目名称和供应商公司名称。</w:t>
      </w:r>
    </w:p>
    <w:p>
      <w:pPr>
        <w:numPr>
          <w:ilvl w:val="0"/>
          <w:numId w:val="0"/>
        </w:numPr>
        <w:shd w:val="clea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邮寄地址：广西南宁市军堂路6号广西警察学院主楼1502室，罗老师（收） ，电话：（0771）5615802。</w:t>
      </w:r>
    </w:p>
    <w:p>
      <w:pPr>
        <w:numPr>
          <w:ilvl w:val="0"/>
          <w:numId w:val="0"/>
        </w:numPr>
        <w:shd w:val="clea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注：</w:t>
      </w:r>
      <w:r>
        <w:rPr>
          <w:rFonts w:hint="eastAsia" w:ascii="仿宋_GB2312" w:hAnsi="仿宋_GB2312" w:eastAsia="仿宋_GB2312" w:cs="仿宋_GB2312"/>
          <w:sz w:val="32"/>
          <w:szCs w:val="32"/>
          <w:lang w:val="en-US" w:eastAsia="zh-CN"/>
        </w:rPr>
        <w:t>建议使用</w:t>
      </w:r>
      <w:r>
        <w:rPr>
          <w:rFonts w:hint="eastAsia" w:ascii="仿宋_GB2312" w:hAnsi="仿宋_GB2312" w:eastAsia="仿宋_GB2312" w:cs="仿宋_GB2312"/>
          <w:b/>
          <w:bCs/>
          <w:sz w:val="32"/>
          <w:szCs w:val="32"/>
          <w:lang w:val="en-US" w:eastAsia="zh-CN"/>
        </w:rPr>
        <w:t>“EMS邮政速递”</w:t>
      </w:r>
      <w:r>
        <w:rPr>
          <w:rFonts w:hint="eastAsia" w:ascii="仿宋_GB2312" w:hAnsi="仿宋_GB2312" w:eastAsia="仿宋_GB2312" w:cs="仿宋_GB2312"/>
          <w:sz w:val="32"/>
          <w:szCs w:val="32"/>
          <w:lang w:val="en-US" w:eastAsia="zh-CN"/>
        </w:rPr>
        <w:t>进行邮寄，要求直接送达上述指定地点，不接收到校门或其他地点取件，如因邮递问题未能及时送达，后果由供应商人自行承担。截止时间前报价有效（以邮件</w:t>
      </w:r>
      <w:r>
        <w:rPr>
          <w:rFonts w:hint="eastAsia" w:ascii="仿宋_GB2312" w:hAnsi="仿宋_GB2312" w:eastAsia="仿宋_GB2312" w:cs="仿宋_GB2312"/>
          <w:b/>
          <w:bCs/>
          <w:color w:val="auto"/>
          <w:sz w:val="32"/>
          <w:szCs w:val="32"/>
          <w:lang w:val="en-US" w:eastAsia="zh-CN"/>
        </w:rPr>
        <w:t>签收时间</w:t>
      </w:r>
      <w:r>
        <w:rPr>
          <w:rFonts w:hint="eastAsia" w:ascii="仿宋_GB2312" w:hAnsi="仿宋_GB2312" w:eastAsia="仿宋_GB2312" w:cs="仿宋_GB2312"/>
          <w:sz w:val="32"/>
          <w:szCs w:val="32"/>
          <w:lang w:val="en-US" w:eastAsia="zh-CN"/>
        </w:rPr>
        <w:t>为准）。</w:t>
      </w:r>
    </w:p>
    <w:p>
      <w:pPr>
        <w:shd w:val="clea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三、供应商报名并提交报价材料视为完全了解本项目公告及附件内容，如果中标后弃标或不配合签订合同的，将按相关规定报自治区财政厅，并没收其投标保证金。</w:t>
      </w:r>
    </w:p>
    <w:p>
      <w:pPr>
        <w:shd w:val="clear"/>
        <w:jc w:val="center"/>
        <w:rPr>
          <w:rFonts w:hint="eastAsia" w:ascii="仿宋_GB2312" w:hAnsi="仿宋_GB2312" w:eastAsia="仿宋_GB2312" w:cs="仿宋_GB2312"/>
          <w:sz w:val="32"/>
          <w:szCs w:val="32"/>
        </w:rPr>
      </w:pPr>
    </w:p>
    <w:p>
      <w:pPr>
        <w:pStyle w:val="2"/>
        <w:shd w:val="clear"/>
        <w:rPr>
          <w:rFonts w:hint="eastAsia" w:ascii="仿宋_GB2312" w:hAnsi="仿宋_GB2312" w:eastAsia="仿宋_GB2312" w:cs="仿宋_GB2312"/>
          <w:sz w:val="32"/>
          <w:szCs w:val="32"/>
        </w:rPr>
      </w:pPr>
    </w:p>
    <w:p>
      <w:pPr>
        <w:shd w:val="clear"/>
        <w:rPr>
          <w:rFonts w:hint="eastAsia" w:ascii="仿宋_GB2312" w:hAnsi="仿宋_GB2312" w:eastAsia="仿宋_GB2312" w:cs="仿宋_GB2312"/>
          <w:sz w:val="32"/>
          <w:szCs w:val="32"/>
        </w:rPr>
      </w:pPr>
    </w:p>
    <w:p>
      <w:pPr>
        <w:pStyle w:val="2"/>
        <w:shd w:val="clear"/>
        <w:rPr>
          <w:rFonts w:hint="eastAsia" w:ascii="仿宋_GB2312" w:hAnsi="仿宋_GB2312" w:eastAsia="仿宋_GB2312" w:cs="仿宋_GB2312"/>
          <w:sz w:val="32"/>
          <w:szCs w:val="32"/>
        </w:rPr>
      </w:pPr>
    </w:p>
    <w:p>
      <w:pPr>
        <w:shd w:val="clear"/>
        <w:rPr>
          <w:rFonts w:hint="eastAsia" w:ascii="仿宋_GB2312" w:hAnsi="仿宋_GB2312" w:eastAsia="仿宋_GB2312" w:cs="仿宋_GB2312"/>
          <w:sz w:val="32"/>
          <w:szCs w:val="32"/>
        </w:rPr>
      </w:pPr>
    </w:p>
    <w:p>
      <w:pPr>
        <w:pStyle w:val="2"/>
        <w:shd w:val="clear"/>
        <w:rPr>
          <w:rFonts w:hint="eastAsia" w:ascii="仿宋_GB2312" w:hAnsi="仿宋_GB2312" w:eastAsia="仿宋_GB2312" w:cs="仿宋_GB2312"/>
          <w:sz w:val="32"/>
          <w:szCs w:val="32"/>
        </w:rPr>
      </w:pPr>
    </w:p>
    <w:p>
      <w:pPr>
        <w:shd w:val="clear"/>
        <w:rPr>
          <w:rFonts w:hint="eastAsia" w:ascii="仿宋_GB2312" w:hAnsi="仿宋_GB2312" w:eastAsia="仿宋_GB2312" w:cs="仿宋_GB2312"/>
          <w:sz w:val="32"/>
          <w:szCs w:val="32"/>
        </w:rPr>
      </w:pPr>
    </w:p>
    <w:p>
      <w:pPr>
        <w:pStyle w:val="2"/>
        <w:shd w:val="clear"/>
        <w:rPr>
          <w:rFonts w:hint="eastAsia" w:ascii="仿宋_GB2312" w:hAnsi="仿宋_GB2312" w:eastAsia="仿宋_GB2312" w:cs="仿宋_GB2312"/>
          <w:sz w:val="32"/>
          <w:szCs w:val="32"/>
        </w:rPr>
      </w:pPr>
    </w:p>
    <w:p>
      <w:pPr>
        <w:shd w:val="clear"/>
        <w:rPr>
          <w:rFonts w:hint="eastAsia" w:ascii="仿宋_GB2312" w:hAnsi="仿宋_GB2312" w:eastAsia="仿宋_GB2312" w:cs="仿宋_GB2312"/>
          <w:sz w:val="32"/>
          <w:szCs w:val="32"/>
        </w:rPr>
      </w:pPr>
    </w:p>
    <w:p>
      <w:pPr>
        <w:shd w:val="clear"/>
        <w:spacing w:line="560" w:lineRule="exact"/>
        <w:rPr>
          <w:rFonts w:hint="eastAsia" w:ascii="仿宋_GB2312" w:eastAsia="仿宋_GB2312"/>
          <w:sz w:val="32"/>
          <w:szCs w:val="32"/>
          <w:lang w:val="en-US" w:eastAsia="zh-CN"/>
        </w:rPr>
      </w:pPr>
    </w:p>
    <w:p>
      <w:pPr>
        <w:shd w:val="clear"/>
        <w:spacing w:line="560" w:lineRule="exact"/>
        <w:rPr>
          <w:rFonts w:hint="eastAsia" w:ascii="仿宋_GB2312" w:eastAsia="仿宋_GB2312"/>
          <w:sz w:val="32"/>
          <w:szCs w:val="32"/>
          <w:lang w:val="en-US" w:eastAsia="zh-CN"/>
        </w:rPr>
      </w:pPr>
    </w:p>
    <w:p>
      <w:pPr>
        <w:shd w:val="clear"/>
        <w:spacing w:line="56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附件2</w:t>
      </w:r>
    </w:p>
    <w:p>
      <w:pPr>
        <w:pStyle w:val="2"/>
        <w:ind w:firstLine="2570" w:firstLineChars="800"/>
        <w:rPr>
          <w:rFonts w:hint="eastAsia"/>
          <w:lang w:val="en-US" w:eastAsia="zh-CN"/>
        </w:rPr>
      </w:pPr>
      <w:r>
        <w:rPr>
          <w:rFonts w:hint="eastAsia" w:ascii="仿宋_GB2312" w:eastAsia="仿宋_GB2312"/>
          <w:sz w:val="32"/>
          <w:szCs w:val="32"/>
          <w:lang w:val="en-US" w:eastAsia="zh-CN"/>
        </w:rPr>
        <w:t>主要服务内容</w:t>
      </w:r>
    </w:p>
    <w:tbl>
      <w:tblPr>
        <w:tblStyle w:val="12"/>
        <w:tblW w:w="7937" w:type="dxa"/>
        <w:jc w:val="center"/>
        <w:tblInd w:w="0" w:type="dxa"/>
        <w:shd w:val="clear" w:color="auto" w:fill="auto"/>
        <w:tblLayout w:type="fixed"/>
        <w:tblCellMar>
          <w:top w:w="15" w:type="dxa"/>
          <w:left w:w="15" w:type="dxa"/>
          <w:bottom w:w="15" w:type="dxa"/>
          <w:right w:w="15" w:type="dxa"/>
        </w:tblCellMar>
      </w:tblPr>
      <w:tblGrid>
        <w:gridCol w:w="939"/>
        <w:gridCol w:w="1253"/>
        <w:gridCol w:w="4156"/>
        <w:gridCol w:w="1030"/>
        <w:gridCol w:w="559"/>
      </w:tblGrid>
      <w:tr>
        <w:tblPrEx>
          <w:tblLayout w:type="fixed"/>
          <w:tblCellMar>
            <w:top w:w="15" w:type="dxa"/>
            <w:left w:w="15" w:type="dxa"/>
            <w:bottom w:w="15" w:type="dxa"/>
            <w:right w:w="15" w:type="dxa"/>
          </w:tblCellMar>
        </w:tblPrEx>
        <w:trPr>
          <w:gridAfter w:val="1"/>
          <w:wAfter w:w="559" w:type="dxa"/>
          <w:trHeight w:val="855" w:hRule="atLeast"/>
          <w:jc w:val="center"/>
        </w:trPr>
        <w:tc>
          <w:tcPr>
            <w:tcW w:w="7378" w:type="dxa"/>
            <w:gridSpan w:val="4"/>
            <w:tcBorders>
              <w:top w:val="nil"/>
              <w:left w:val="nil"/>
              <w:bottom w:val="nil"/>
              <w:right w:val="nil"/>
            </w:tcBorders>
            <w:shd w:val="clear" w:color="auto" w:fill="auto"/>
            <w:vAlign w:val="center"/>
          </w:tcPr>
          <w:p>
            <w:pPr>
              <w:widowControl/>
              <w:shd w:val="clear"/>
              <w:spacing w:line="500" w:lineRule="exact"/>
              <w:ind w:firstLine="1400" w:firstLineChars="500"/>
              <w:jc w:val="both"/>
              <w:textAlignment w:val="center"/>
              <w:rPr>
                <w:rFonts w:ascii="仿宋_GB2312" w:hAnsi="仿宋" w:eastAsia="仿宋_GB2312"/>
                <w:b w:val="0"/>
                <w:bCs w:val="0"/>
                <w:sz w:val="28"/>
                <w:szCs w:val="28"/>
                <w:shd w:val="clear" w:color="auto" w:fill="auto"/>
              </w:rPr>
            </w:pPr>
            <w:r>
              <w:rPr>
                <w:rFonts w:hint="eastAsia" w:ascii="仿宋_GB2312" w:hAnsi="宋体" w:eastAsia="仿宋_GB2312"/>
                <w:b w:val="0"/>
                <w:bCs w:val="0"/>
                <w:sz w:val="28"/>
                <w:szCs w:val="28"/>
                <w:shd w:val="clear" w:color="auto" w:fill="auto"/>
                <w:lang w:val="en-US" w:eastAsia="zh-CN"/>
              </w:rPr>
              <w:t>1.</w:t>
            </w:r>
            <w:r>
              <w:rPr>
                <w:rFonts w:hint="eastAsia" w:ascii="仿宋_GB2312" w:hAnsi="宋体" w:eastAsia="仿宋_GB2312"/>
                <w:b w:val="0"/>
                <w:bCs w:val="0"/>
                <w:sz w:val="28"/>
                <w:szCs w:val="28"/>
                <w:shd w:val="clear" w:color="auto" w:fill="auto"/>
              </w:rPr>
              <w:t>配电设备运维</w:t>
            </w:r>
            <w:r>
              <w:rPr>
                <w:rFonts w:hint="eastAsia" w:ascii="仿宋_GB2312" w:hAnsi="宋体" w:eastAsia="仿宋_GB2312"/>
                <w:b w:val="0"/>
                <w:bCs w:val="0"/>
                <w:color w:val="000000"/>
                <w:kern w:val="0"/>
                <w:sz w:val="28"/>
                <w:szCs w:val="28"/>
                <w:shd w:val="clear" w:color="auto" w:fill="auto"/>
              </w:rPr>
              <w:t>服务具体内容</w:t>
            </w:r>
          </w:p>
        </w:tc>
      </w:tr>
      <w:tr>
        <w:tblPrEx>
          <w:shd w:val="clear" w:color="auto" w:fill="auto"/>
          <w:tblLayout w:type="fixed"/>
          <w:tblCellMar>
            <w:top w:w="15" w:type="dxa"/>
            <w:left w:w="15" w:type="dxa"/>
            <w:bottom w:w="15" w:type="dxa"/>
            <w:right w:w="15" w:type="dxa"/>
          </w:tblCellMar>
        </w:tblPrEx>
        <w:trPr>
          <w:trHeight w:val="90" w:hRule="atLeast"/>
          <w:jc w:val="center"/>
        </w:trPr>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center"/>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不停电巡视部分</w:t>
            </w: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center"/>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主要巡视设备（部位）</w:t>
            </w:r>
          </w:p>
        </w:tc>
        <w:tc>
          <w:tcPr>
            <w:tcW w:w="4156"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center"/>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主要检查内容</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widowControl/>
              <w:shd w:val="clear"/>
              <w:jc w:val="center"/>
              <w:textAlignment w:val="center"/>
              <w:rPr>
                <w:rFonts w:hint="eastAsia" w:ascii="仿宋_GB2312" w:hAnsi="宋体" w:eastAsia="仿宋_GB2312"/>
                <w:b w:val="0"/>
                <w:bCs w:val="0"/>
                <w:color w:val="000000"/>
                <w:sz w:val="24"/>
                <w:szCs w:val="24"/>
                <w:shd w:val="clear" w:color="auto" w:fill="auto"/>
                <w:lang w:val="en-US" w:eastAsia="zh-CN"/>
              </w:rPr>
            </w:pPr>
            <w:r>
              <w:rPr>
                <w:rFonts w:hint="eastAsia" w:ascii="仿宋_GB2312" w:hAnsi="宋体" w:eastAsia="仿宋_GB2312"/>
                <w:b w:val="0"/>
                <w:bCs w:val="0"/>
                <w:color w:val="000000"/>
                <w:sz w:val="24"/>
                <w:szCs w:val="24"/>
                <w:shd w:val="clear" w:color="auto" w:fill="auto"/>
                <w:lang w:val="en-US" w:eastAsia="zh-CN"/>
              </w:rPr>
              <w:t>工作要求</w:t>
            </w:r>
          </w:p>
        </w:tc>
      </w:tr>
      <w:tr>
        <w:tblPrEx>
          <w:shd w:val="clear" w:color="auto" w:fill="auto"/>
          <w:tblLayout w:type="fixed"/>
          <w:tblCellMar>
            <w:top w:w="15" w:type="dxa"/>
            <w:left w:w="15" w:type="dxa"/>
            <w:bottom w:w="15" w:type="dxa"/>
            <w:right w:w="15" w:type="dxa"/>
          </w:tblCellMar>
        </w:tblPrEx>
        <w:trPr>
          <w:trHeight w:val="945" w:hRule="atLeast"/>
          <w:jc w:val="center"/>
        </w:trPr>
        <w:tc>
          <w:tcPr>
            <w:tcW w:w="939" w:type="dxa"/>
            <w:vMerge w:val="restart"/>
            <w:tcBorders>
              <w:top w:val="single" w:color="000000" w:sz="4" w:space="0"/>
              <w:left w:val="single" w:color="000000" w:sz="4" w:space="0"/>
              <w:right w:val="single" w:color="000000" w:sz="4" w:space="0"/>
            </w:tcBorders>
            <w:shd w:val="clear" w:color="auto" w:fill="auto"/>
            <w:vAlign w:val="center"/>
          </w:tcPr>
          <w:p>
            <w:pPr>
              <w:widowControl/>
              <w:shd w:val="clear"/>
              <w:jc w:val="center"/>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油浸式变压器</w:t>
            </w: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外观检查</w:t>
            </w:r>
          </w:p>
        </w:tc>
        <w:tc>
          <w:tcPr>
            <w:tcW w:w="4156"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有无积尘、有无树叶、藤蔓、杂草等异物靠近、高低压套管有无破裂、渗油、外壳接地是否良好</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488"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jc w:val="cente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变压器负荷监测</w:t>
            </w:r>
          </w:p>
        </w:tc>
        <w:tc>
          <w:tcPr>
            <w:tcW w:w="4156"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变压器三相电流、电压是否平衡、是否超额定负荷</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285"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高、低压接线柱</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有无安装绝缘护套、测温仪检测接点有无发热现象</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285"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呼吸器</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观察有无变色</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tblLayout w:type="fixed"/>
          <w:tblCellMar>
            <w:top w:w="15" w:type="dxa"/>
            <w:left w:w="15" w:type="dxa"/>
            <w:bottom w:w="15" w:type="dxa"/>
            <w:right w:w="15" w:type="dxa"/>
          </w:tblCellMar>
        </w:tblPrEx>
        <w:trPr>
          <w:trHeight w:val="285"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胶珠、密封胶垫</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观察有无破损、老化、渗油</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285"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顶层油温</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测温枪检测油面温度（顶层油温＜85℃）</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285"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油位</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观察有无缺油现象</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1039" w:hRule="atLeast"/>
          <w:jc w:val="center"/>
        </w:trPr>
        <w:tc>
          <w:tcPr>
            <w:tcW w:w="939" w:type="dxa"/>
            <w:vMerge w:val="continue"/>
            <w:tcBorders>
              <w:left w:val="single" w:color="000000" w:sz="4" w:space="0"/>
              <w:bottom w:val="single" w:color="auto"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变压器运行声音</w:t>
            </w:r>
          </w:p>
          <w:p>
            <w:pPr>
              <w:widowControl/>
              <w:shd w:val="clear"/>
              <w:jc w:val="left"/>
              <w:textAlignment w:val="top"/>
              <w:rPr>
                <w:rFonts w:ascii="仿宋_GB2312" w:hAnsi="宋体" w:eastAsia="仿宋_GB2312"/>
                <w:b w:val="0"/>
                <w:bCs w:val="0"/>
                <w:color w:val="000000"/>
                <w:kern w:val="0"/>
                <w:sz w:val="24"/>
                <w:szCs w:val="24"/>
                <w:shd w:val="clear" w:color="auto" w:fill="auto"/>
              </w:rPr>
            </w:pPr>
          </w:p>
        </w:tc>
        <w:tc>
          <w:tcPr>
            <w:tcW w:w="4156" w:type="dxa"/>
            <w:tcBorders>
              <w:top w:val="single" w:color="000000"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有无异响（应为连续的嗡嗡声）</w:t>
            </w:r>
          </w:p>
        </w:tc>
        <w:tc>
          <w:tcPr>
            <w:tcW w:w="1589" w:type="dxa"/>
            <w:gridSpan w:val="2"/>
            <w:tcBorders>
              <w:top w:val="single" w:color="000000" w:sz="4" w:space="0"/>
              <w:left w:val="nil"/>
              <w:bottom w:val="single" w:color="auto"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149" w:hRule="atLeast"/>
          <w:jc w:val="center"/>
        </w:trPr>
        <w:tc>
          <w:tcPr>
            <w:tcW w:w="939" w:type="dxa"/>
            <w:vMerge w:val="restart"/>
            <w:tcBorders>
              <w:top w:val="single" w:color="auto" w:sz="4" w:space="0"/>
              <w:left w:val="single" w:color="000000" w:sz="4" w:space="0"/>
              <w:right w:val="single" w:color="000000" w:sz="4" w:space="0"/>
            </w:tcBorders>
            <w:shd w:val="clear" w:color="auto" w:fill="auto"/>
            <w:vAlign w:val="center"/>
          </w:tcPr>
          <w:p>
            <w:pPr>
              <w:shd w:val="clear"/>
              <w:jc w:val="left"/>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干式变压器</w:t>
            </w:r>
          </w:p>
        </w:tc>
        <w:tc>
          <w:tcPr>
            <w:tcW w:w="1253"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center"/>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外观检查</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变压器有无积尘、绕组绝缘有无破裂、支柱绝缘子有无破裂、外壳接地是否良好</w:t>
            </w:r>
          </w:p>
        </w:tc>
        <w:tc>
          <w:tcPr>
            <w:tcW w:w="1589" w:type="dxa"/>
            <w:gridSpan w:val="2"/>
            <w:tcBorders>
              <w:top w:val="single" w:color="auto" w:sz="4" w:space="0"/>
              <w:left w:val="nil"/>
              <w:bottom w:val="single" w:color="auto"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162"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变压器负荷监测</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变压器三相电流、电压是否平衡、是否超额定负荷</w:t>
            </w:r>
          </w:p>
        </w:tc>
        <w:tc>
          <w:tcPr>
            <w:tcW w:w="1589" w:type="dxa"/>
            <w:gridSpan w:val="2"/>
            <w:tcBorders>
              <w:top w:val="single" w:color="auto" w:sz="4" w:space="0"/>
              <w:left w:val="nil"/>
              <w:bottom w:val="single" w:color="auto"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tblLayout w:type="fixed"/>
          <w:tblCellMar>
            <w:top w:w="15" w:type="dxa"/>
            <w:left w:w="15" w:type="dxa"/>
            <w:bottom w:w="15" w:type="dxa"/>
            <w:right w:w="15" w:type="dxa"/>
          </w:tblCellMar>
        </w:tblPrEx>
        <w:trPr>
          <w:trHeight w:val="136"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变压器运行声音</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有无异响（应为连续的嗡嗡声）</w:t>
            </w:r>
          </w:p>
        </w:tc>
        <w:tc>
          <w:tcPr>
            <w:tcW w:w="1589" w:type="dxa"/>
            <w:gridSpan w:val="2"/>
            <w:tcBorders>
              <w:top w:val="single" w:color="auto" w:sz="4" w:space="0"/>
              <w:left w:val="nil"/>
              <w:bottom w:val="single" w:color="auto"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229"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高压组别联杆</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有无断裂痕迹、绝缘距离是否符合要求（&gt;12.5cm）</w:t>
            </w:r>
          </w:p>
        </w:tc>
        <w:tc>
          <w:tcPr>
            <w:tcW w:w="1589" w:type="dxa"/>
            <w:gridSpan w:val="2"/>
            <w:tcBorders>
              <w:top w:val="single" w:color="auto" w:sz="4" w:space="0"/>
              <w:left w:val="nil"/>
              <w:bottom w:val="single" w:color="auto"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tblLayout w:type="fixed"/>
          <w:tblCellMar>
            <w:top w:w="15" w:type="dxa"/>
            <w:left w:w="15" w:type="dxa"/>
            <w:bottom w:w="15" w:type="dxa"/>
            <w:right w:w="15" w:type="dxa"/>
          </w:tblCellMar>
        </w:tblPrEx>
        <w:trPr>
          <w:trHeight w:val="162"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变压器铁芯温度</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测温枪检测铁芯温度（铁芯温度&lt;120摄氏度）</w:t>
            </w:r>
          </w:p>
        </w:tc>
        <w:tc>
          <w:tcPr>
            <w:tcW w:w="1589" w:type="dxa"/>
            <w:gridSpan w:val="2"/>
            <w:tcBorders>
              <w:top w:val="single" w:color="auto" w:sz="4" w:space="0"/>
              <w:left w:val="nil"/>
              <w:bottom w:val="single" w:color="auto"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874"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变压器温控仪</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运行是否正常、温度显示是否正确</w:t>
            </w:r>
          </w:p>
        </w:tc>
        <w:tc>
          <w:tcPr>
            <w:tcW w:w="1589" w:type="dxa"/>
            <w:gridSpan w:val="2"/>
            <w:tcBorders>
              <w:top w:val="single" w:color="auto" w:sz="4" w:space="0"/>
              <w:left w:val="nil"/>
              <w:bottom w:val="single" w:color="auto"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162" w:hRule="atLeast"/>
          <w:jc w:val="center"/>
        </w:trPr>
        <w:tc>
          <w:tcPr>
            <w:tcW w:w="939" w:type="dxa"/>
            <w:vMerge w:val="continue"/>
            <w:tcBorders>
              <w:left w:val="single" w:color="000000" w:sz="4" w:space="0"/>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auto"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变压器器散热风机</w:t>
            </w:r>
          </w:p>
        </w:tc>
        <w:tc>
          <w:tcPr>
            <w:tcW w:w="4156" w:type="dxa"/>
            <w:tcBorders>
              <w:top w:val="single" w:color="auto"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启动及运行是否正常、有无碰壳现象</w:t>
            </w:r>
          </w:p>
        </w:tc>
        <w:tc>
          <w:tcPr>
            <w:tcW w:w="1589" w:type="dxa"/>
            <w:gridSpan w:val="2"/>
            <w:tcBorders>
              <w:top w:val="single" w:color="auto"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2051" w:hRule="atLeast"/>
          <w:jc w:val="center"/>
        </w:trPr>
        <w:tc>
          <w:tcPr>
            <w:tcW w:w="939" w:type="dxa"/>
            <w:vMerge w:val="restart"/>
            <w:tcBorders>
              <w:top w:val="single" w:color="000000" w:sz="4" w:space="0"/>
              <w:left w:val="single" w:color="000000" w:sz="4" w:space="0"/>
              <w:right w:val="single" w:color="000000" w:sz="4" w:space="0"/>
            </w:tcBorders>
            <w:shd w:val="clear" w:color="auto" w:fill="auto"/>
            <w:vAlign w:val="center"/>
          </w:tcPr>
          <w:p>
            <w:pPr>
              <w:widowControl/>
              <w:shd w:val="clear"/>
              <w:jc w:val="center"/>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户内高压设备</w:t>
            </w: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高压进线柜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如盘柜设有观察窗、从观察窗观察进线开关合闸是否到位，高压进线电缆头、高压避雷器、绝缘子、套管、CT等柜内设备有无放电，柜内有无孔洞未堵，静听柜内有无异响。带电、分、合闸等指示灯是否正常。测温枪从观察窗检测柜内各接点温度是否过高。柜内有无积尘、蜘蛛网等。</w:t>
            </w:r>
          </w:p>
        </w:tc>
        <w:tc>
          <w:tcPr>
            <w:tcW w:w="1589" w:type="dxa"/>
            <w:gridSpan w:val="2"/>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因外线路停电不受本公司控制，进线开关线路侧锄头及其它设备（如避雷器、电缆头等）不在维护范围。</w:t>
            </w: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1274"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jc w:val="cente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高压计量柜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如盘柜设有观察窗，从观察窗观察绝缘子、套管、PT等柜内设备有无放电，柜内有无孔洞未堵，静听柜内有无异响。柜内有无积尘、蜘蛛网等。</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664"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jc w:val="cente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高压母联柜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如盘柜设有观察窗，从观察窗观察母联开关合闸是否到位，绝缘子、套管等柜内设备有无放电，柜内有无孔洞未堵，静听柜内有无异响。测温枪从观察窗检测柜内各接点温度是否过高。柜内有无积尘、蜘蛛网等。</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tblLayout w:type="fixed"/>
          <w:tblCellMar>
            <w:top w:w="15" w:type="dxa"/>
            <w:left w:w="15" w:type="dxa"/>
            <w:bottom w:w="15" w:type="dxa"/>
            <w:right w:w="15" w:type="dxa"/>
          </w:tblCellMar>
        </w:tblPrEx>
        <w:trPr>
          <w:trHeight w:val="2661" w:hRule="atLeast"/>
          <w:jc w:val="center"/>
        </w:trPr>
        <w:tc>
          <w:tcPr>
            <w:tcW w:w="939" w:type="dxa"/>
            <w:vMerge w:val="continue"/>
            <w:tcBorders>
              <w:left w:val="single" w:color="000000" w:sz="4" w:space="0"/>
              <w:bottom w:val="single" w:color="000000" w:sz="4" w:space="0"/>
              <w:right w:val="single" w:color="000000" w:sz="4" w:space="0"/>
            </w:tcBorders>
            <w:shd w:val="clear" w:color="auto" w:fill="auto"/>
            <w:vAlign w:val="center"/>
          </w:tcPr>
          <w:p>
            <w:pPr>
              <w:shd w:val="clear"/>
              <w:jc w:val="cente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高压出线柜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如盘柜设有观察窗，从观察窗观察出线开关合闸是否到位，高压出线电缆头、高压避雷器绝缘子、套管等柜内设备有无放电，有无孔洞未堵，静听柜内有无异响。带电、分、合闸等指示灯是否正常。测温枪从观察窗检测柜内各接点温度是否过高。柜内有无积尘、蜘蛛网等。钳形电流表检测电流是否超负荷。</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2505" w:hRule="atLeast"/>
          <w:jc w:val="center"/>
        </w:trPr>
        <w:tc>
          <w:tcPr>
            <w:tcW w:w="939" w:type="dxa"/>
            <w:vMerge w:val="restart"/>
            <w:tcBorders>
              <w:top w:val="single" w:color="000000" w:sz="4" w:space="0"/>
              <w:left w:val="single" w:color="000000" w:sz="4" w:space="0"/>
              <w:right w:val="single" w:color="000000" w:sz="4" w:space="0"/>
            </w:tcBorders>
            <w:shd w:val="clear" w:color="auto" w:fill="auto"/>
            <w:vAlign w:val="top"/>
          </w:tcPr>
          <w:p>
            <w:pPr>
              <w:widowControl/>
              <w:shd w:val="clear"/>
              <w:jc w:val="center"/>
              <w:textAlignment w:val="top"/>
            </w:pPr>
          </w:p>
          <w:p>
            <w:pPr>
              <w:widowControl/>
              <w:shd w:val="clear"/>
              <w:jc w:val="center"/>
              <w:textAlignment w:val="top"/>
              <w:rPr>
                <w:rFonts w:hint="eastAsia"/>
              </w:rPr>
            </w:pPr>
          </w:p>
          <w:p>
            <w:pPr>
              <w:widowControl/>
              <w:shd w:val="clear"/>
              <w:jc w:val="center"/>
              <w:textAlignment w:val="top"/>
              <w:rPr>
                <w:rFonts w:hint="eastAsia"/>
              </w:rPr>
            </w:pPr>
          </w:p>
          <w:p>
            <w:pPr>
              <w:widowControl/>
              <w:shd w:val="clear"/>
              <w:jc w:val="center"/>
              <w:textAlignment w:val="top"/>
              <w:rPr>
                <w:rFonts w:hint="eastAsia"/>
              </w:rPr>
            </w:pPr>
          </w:p>
          <w:p>
            <w:pPr>
              <w:widowControl/>
              <w:shd w:val="clear"/>
              <w:jc w:val="center"/>
              <w:textAlignment w:val="top"/>
              <w:rPr>
                <w:rFonts w:hint="eastAsia"/>
              </w:rPr>
            </w:pPr>
          </w:p>
          <w:p>
            <w:pPr>
              <w:widowControl/>
              <w:shd w:val="clear"/>
              <w:jc w:val="center"/>
              <w:textAlignment w:val="top"/>
              <w:rPr>
                <w:rFonts w:hint="eastAsia"/>
              </w:rPr>
            </w:pPr>
          </w:p>
          <w:p>
            <w:pPr>
              <w:widowControl/>
              <w:shd w:val="clear"/>
              <w:jc w:val="center"/>
              <w:textAlignment w:val="top"/>
              <w:rPr>
                <w:rFonts w:hint="eastAsia"/>
              </w:rPr>
            </w:pPr>
          </w:p>
          <w:p>
            <w:pPr>
              <w:widowControl/>
              <w:shd w:val="clear"/>
              <w:jc w:val="center"/>
              <w:textAlignment w:val="top"/>
              <w:rPr>
                <w:rFonts w:hint="eastAsia"/>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户内低压设备</w:t>
            </w:r>
          </w:p>
          <w:p>
            <w:pPr>
              <w:pStyle w:val="2"/>
              <w:rPr>
                <w:rFonts w:hint="eastAsia"/>
              </w:rPr>
            </w:pPr>
          </w:p>
          <w:p>
            <w:pPr>
              <w:rPr>
                <w:rFonts w:hint="eastAsia"/>
              </w:rPr>
            </w:pPr>
          </w:p>
          <w:p>
            <w:pPr>
              <w:pStyle w:val="2"/>
              <w:rPr>
                <w:rFonts w:hint="eastAsia"/>
              </w:rPr>
            </w:pPr>
          </w:p>
          <w:p>
            <w:pPr>
              <w:widowControl/>
              <w:shd w:val="clear"/>
              <w:jc w:val="center"/>
              <w:textAlignment w:val="top"/>
              <w:rPr>
                <w:rFonts w:hint="eastAsia" w:ascii="仿宋_GB2312" w:hAnsi="宋体" w:eastAsia="仿宋_GB2312"/>
                <w:b w:val="0"/>
                <w:bCs w:val="0"/>
                <w:color w:val="000000"/>
                <w:kern w:val="0"/>
                <w:sz w:val="24"/>
                <w:szCs w:val="24"/>
                <w:shd w:val="clear" w:color="auto" w:fill="auto"/>
              </w:rPr>
            </w:pPr>
          </w:p>
          <w:p>
            <w:pPr>
              <w:jc w:val="left"/>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低压进线柜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进线刀开关接触是否良好，分、合闸等指示灯是否正常。低压断路器运行是否有异响。一、二次线是否有发热、烧焦现象。测温枪从观察窗检测柜内各接点温度是否过高。柜内有无积尘、蜘蛛网等。有无孔洞未堵。柜门、锁有无损，柜门开、闭是否正常。</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1720"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低压计量柜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电度表铅封是否完好，一、二次线是否有发热、烧焦现象，有无积尘、蜘蛛网等。有无孔洞未堵。</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tblLayout w:type="fixed"/>
          <w:tblCellMar>
            <w:top w:w="15" w:type="dxa"/>
            <w:left w:w="15" w:type="dxa"/>
            <w:bottom w:w="15" w:type="dxa"/>
            <w:right w:w="15" w:type="dxa"/>
          </w:tblCellMar>
        </w:tblPrEx>
        <w:trPr>
          <w:trHeight w:val="635"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低压母联柜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母联开关接触是否良好，分、合闸等指示灯是否正常。一、二次线是否有发热、烧焦现象。测温枪检测各接点温度是否过高。有无积尘、蜘蛛网等。有无孔洞未堵。柜门、锁有无损，柜门开、关是否正常。</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2430"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低压出线柜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出线刀开关接触是否良好，分、合闸等指示灯是否正常。出线低压断路器、空气开关运行是否有异响。一、二次线是否有发热、烧焦现象。测温枪检测各接点温度是否过高。有无积尘、蜘蛛网等。有无孔洞未堵。柜门、锁有无损，柜门开、关是否正常。钳形电流表检测电流是否超负荷，电压是否正常。</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1455"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center"/>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电容柜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是否投入无功补偿，是否满足无功补偿。刀开关接触是否完好，接触器有无故障。电容外观检查有无变形。一、二次线是否有发热、烧焦现象。</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tblLayout w:type="fixed"/>
          <w:tblCellMar>
            <w:top w:w="15" w:type="dxa"/>
            <w:left w:w="15" w:type="dxa"/>
            <w:bottom w:w="15" w:type="dxa"/>
            <w:right w:w="15" w:type="dxa"/>
          </w:tblCellMar>
        </w:tblPrEx>
        <w:trPr>
          <w:trHeight w:val="1672" w:hRule="atLeast"/>
          <w:jc w:val="center"/>
        </w:trPr>
        <w:tc>
          <w:tcPr>
            <w:tcW w:w="939" w:type="dxa"/>
            <w:vMerge w:val="continue"/>
            <w:tcBorders>
              <w:left w:val="single" w:color="000000" w:sz="4" w:space="0"/>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低压配电箱</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总进线开关运行是否有异响，一、二次线是否有发热、烧焦现象。电度表铅封是否完好。测温枪检测各接点温度是否过高。有无积尘、蜘蛛网等。有无孔洞未堵。柜门、锁有无损，柜门开、闭是否正常。</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r>
              <w:rPr>
                <w:rFonts w:hint="eastAsia" w:ascii="仿宋_GB2312" w:hAnsi="宋体" w:eastAsia="仿宋_GB2312"/>
                <w:b w:val="0"/>
                <w:bCs w:val="0"/>
                <w:color w:val="000000"/>
                <w:sz w:val="24"/>
                <w:szCs w:val="24"/>
                <w:shd w:val="clear" w:color="auto" w:fill="auto"/>
              </w:rPr>
              <w:t>每</w:t>
            </w:r>
            <w:r>
              <w:rPr>
                <w:rFonts w:hint="eastAsia" w:ascii="仿宋_GB2312" w:hAnsi="宋体" w:eastAsia="仿宋_GB2312"/>
                <w:b w:val="0"/>
                <w:bCs w:val="0"/>
                <w:color w:val="000000"/>
                <w:sz w:val="24"/>
                <w:szCs w:val="24"/>
                <w:shd w:val="clear" w:color="auto" w:fill="auto"/>
                <w:lang w:val="en-US" w:eastAsia="zh-CN"/>
              </w:rPr>
              <w:t>2</w:t>
            </w:r>
            <w:r>
              <w:rPr>
                <w:rFonts w:hint="eastAsia" w:ascii="仿宋_GB2312" w:hAnsi="宋体" w:eastAsia="仿宋_GB2312"/>
                <w:b w:val="0"/>
                <w:bCs w:val="0"/>
                <w:color w:val="000000"/>
                <w:sz w:val="24"/>
                <w:szCs w:val="24"/>
                <w:shd w:val="clear" w:color="auto" w:fill="auto"/>
              </w:rPr>
              <w:t>月</w:t>
            </w:r>
            <w:r>
              <w:rPr>
                <w:rFonts w:hint="eastAsia" w:ascii="仿宋_GB2312" w:hAnsi="宋体" w:eastAsia="仿宋_GB2312"/>
                <w:b w:val="0"/>
                <w:bCs w:val="0"/>
                <w:color w:val="000000"/>
                <w:sz w:val="24"/>
                <w:szCs w:val="24"/>
                <w:shd w:val="clear" w:color="auto" w:fill="auto"/>
                <w:lang w:val="en-US" w:eastAsia="zh-CN"/>
              </w:rPr>
              <w:t>1</w:t>
            </w:r>
            <w:r>
              <w:rPr>
                <w:rFonts w:hint="eastAsia" w:ascii="仿宋_GB2312" w:hAnsi="宋体" w:eastAsia="仿宋_GB2312"/>
                <w:b w:val="0"/>
                <w:bCs w:val="0"/>
                <w:color w:val="000000"/>
                <w:sz w:val="24"/>
                <w:szCs w:val="24"/>
                <w:shd w:val="clear" w:color="auto" w:fill="auto"/>
              </w:rPr>
              <w:t>次</w:t>
            </w:r>
          </w:p>
        </w:tc>
      </w:tr>
      <w:tr>
        <w:tblPrEx>
          <w:shd w:val="clear" w:color="auto" w:fill="auto"/>
          <w:tblLayout w:type="fixed"/>
          <w:tblCellMar>
            <w:top w:w="15" w:type="dxa"/>
            <w:left w:w="15" w:type="dxa"/>
            <w:bottom w:w="15" w:type="dxa"/>
            <w:right w:w="15" w:type="dxa"/>
          </w:tblCellMar>
        </w:tblPrEx>
        <w:trPr>
          <w:trHeight w:val="575" w:hRule="atLeast"/>
          <w:jc w:val="center"/>
        </w:trPr>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停电定检部分</w:t>
            </w: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主要检查（部位）</w:t>
            </w:r>
          </w:p>
        </w:tc>
        <w:tc>
          <w:tcPr>
            <w:tcW w:w="4156"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主要检查内容</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备注</w:t>
            </w:r>
          </w:p>
        </w:tc>
      </w:tr>
      <w:tr>
        <w:tblPrEx>
          <w:shd w:val="clear" w:color="auto" w:fill="auto"/>
          <w:tblLayout w:type="fixed"/>
          <w:tblCellMar>
            <w:top w:w="15" w:type="dxa"/>
            <w:left w:w="15" w:type="dxa"/>
            <w:bottom w:w="15" w:type="dxa"/>
            <w:right w:w="15" w:type="dxa"/>
          </w:tblCellMar>
        </w:tblPrEx>
        <w:trPr>
          <w:trHeight w:val="1455" w:hRule="atLeast"/>
          <w:jc w:val="center"/>
        </w:trPr>
        <w:tc>
          <w:tcPr>
            <w:tcW w:w="939" w:type="dxa"/>
            <w:vMerge w:val="restart"/>
            <w:tcBorders>
              <w:top w:val="single" w:color="000000" w:sz="4" w:space="0"/>
              <w:left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hint="eastAsia"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油浸式变压器</w:t>
            </w: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外观检查</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清扫积尘、清除靠近变压器的树枝、藤蔓、杂草等异物靠近、高低压套管有无破裂、渗油、外壳接地是否良好、免费护理一次变压器胶珠、套管胶垫</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285" w:hRule="atLeast"/>
          <w:jc w:val="center"/>
        </w:trPr>
        <w:tc>
          <w:tcPr>
            <w:tcW w:w="939" w:type="dxa"/>
            <w:vMerge w:val="continue"/>
            <w:tcBorders>
              <w:left w:val="single" w:color="000000"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高、低压接线柱</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高、低压接线、导杆本体有无松动</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285" w:hRule="atLeast"/>
          <w:jc w:val="center"/>
        </w:trPr>
        <w:tc>
          <w:tcPr>
            <w:tcW w:w="939" w:type="dxa"/>
            <w:vMerge w:val="continue"/>
            <w:tcBorders>
              <w:left w:val="single" w:color="000000"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呼吸器</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免费护理一次呼吸器</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285" w:hRule="atLeast"/>
          <w:jc w:val="center"/>
        </w:trPr>
        <w:tc>
          <w:tcPr>
            <w:tcW w:w="939" w:type="dxa"/>
            <w:vMerge w:val="continue"/>
            <w:tcBorders>
              <w:left w:val="single" w:color="000000"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胶珠、密封胶垫</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免费护理一次胶珠、密封胶垫</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tblLayout w:type="fixed"/>
          <w:tblCellMar>
            <w:top w:w="15" w:type="dxa"/>
            <w:left w:w="15" w:type="dxa"/>
            <w:bottom w:w="15" w:type="dxa"/>
            <w:right w:w="15" w:type="dxa"/>
          </w:tblCellMar>
        </w:tblPrEx>
        <w:trPr>
          <w:trHeight w:val="285" w:hRule="atLeast"/>
          <w:jc w:val="center"/>
        </w:trPr>
        <w:tc>
          <w:tcPr>
            <w:tcW w:w="939" w:type="dxa"/>
            <w:vMerge w:val="continue"/>
            <w:tcBorders>
              <w:left w:val="single" w:color="000000"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调压器</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档位调节是否正常</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tblLayout w:type="fixed"/>
          <w:tblCellMar>
            <w:top w:w="15" w:type="dxa"/>
            <w:left w:w="15" w:type="dxa"/>
            <w:bottom w:w="15" w:type="dxa"/>
            <w:right w:w="15" w:type="dxa"/>
          </w:tblCellMar>
        </w:tblPrEx>
        <w:trPr>
          <w:trHeight w:val="90" w:hRule="atLeast"/>
          <w:jc w:val="center"/>
        </w:trPr>
        <w:tc>
          <w:tcPr>
            <w:tcW w:w="939" w:type="dxa"/>
            <w:vMerge w:val="continue"/>
            <w:tcBorders>
              <w:left w:val="single" w:color="000000"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油标</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油位是否正常</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415" w:hRule="atLeast"/>
          <w:jc w:val="center"/>
        </w:trPr>
        <w:tc>
          <w:tcPr>
            <w:tcW w:w="939" w:type="dxa"/>
            <w:vMerge w:val="continue"/>
            <w:tcBorders>
              <w:left w:val="single" w:color="000000"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令克</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免费护理一次高压跌落式令克保险丝</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388" w:hRule="atLeast"/>
          <w:jc w:val="center"/>
        </w:trPr>
        <w:tc>
          <w:tcPr>
            <w:tcW w:w="939" w:type="dxa"/>
            <w:vMerge w:val="continue"/>
            <w:tcBorders>
              <w:left w:val="single" w:color="000000" w:sz="4" w:space="0"/>
              <w:bottom w:val="single" w:color="auto"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tc>
        <w:tc>
          <w:tcPr>
            <w:tcW w:w="1253" w:type="dxa"/>
            <w:tcBorders>
              <w:top w:val="single" w:color="000000"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取油样</w:t>
            </w:r>
          </w:p>
        </w:tc>
        <w:tc>
          <w:tcPr>
            <w:tcW w:w="4156" w:type="dxa"/>
            <w:tcBorders>
              <w:top w:val="single" w:color="000000"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Cs w:val="21"/>
                <w:shd w:val="clear" w:color="auto" w:fill="auto"/>
              </w:rPr>
            </w:pPr>
          </w:p>
          <w:p>
            <w:pPr>
              <w:widowControl/>
              <w:shd w:val="clear"/>
              <w:jc w:val="left"/>
              <w:textAlignment w:val="top"/>
              <w:rPr>
                <w:rFonts w:ascii="仿宋_GB2312" w:hAnsi="宋体" w:eastAsia="仿宋_GB2312"/>
                <w:b w:val="0"/>
                <w:bCs w:val="0"/>
                <w:color w:val="000000"/>
                <w:szCs w:val="21"/>
                <w:shd w:val="clear" w:color="auto" w:fill="auto"/>
              </w:rPr>
            </w:pPr>
            <w:r>
              <w:rPr>
                <w:rFonts w:hint="eastAsia" w:ascii="仿宋_GB2312" w:hAnsi="宋体" w:eastAsia="仿宋_GB2312"/>
                <w:b w:val="0"/>
                <w:bCs w:val="0"/>
                <w:color w:val="000000"/>
                <w:kern w:val="0"/>
                <w:shd w:val="clear" w:color="auto" w:fill="auto"/>
              </w:rPr>
              <w:t>油样试验</w:t>
            </w:r>
          </w:p>
        </w:tc>
        <w:tc>
          <w:tcPr>
            <w:tcW w:w="1589" w:type="dxa"/>
            <w:gridSpan w:val="2"/>
            <w:tcBorders>
              <w:top w:val="single" w:color="000000" w:sz="4" w:space="0"/>
              <w:left w:val="nil"/>
              <w:bottom w:val="single" w:color="auto"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Cs w:val="21"/>
                <w:shd w:val="clear" w:color="auto" w:fill="auto"/>
              </w:rPr>
            </w:pPr>
            <w:r>
              <w:rPr>
                <w:rFonts w:hint="eastAsia" w:ascii="仿宋_GB2312" w:hAnsi="宋体" w:eastAsia="仿宋_GB2312"/>
                <w:b w:val="0"/>
                <w:bCs w:val="0"/>
                <w:color w:val="000000"/>
                <w:kern w:val="0"/>
                <w:shd w:val="clear" w:color="auto" w:fill="auto"/>
              </w:rPr>
              <w:t>2年一次</w:t>
            </w:r>
          </w:p>
        </w:tc>
      </w:tr>
      <w:tr>
        <w:tblPrEx>
          <w:shd w:val="clear" w:color="auto" w:fill="auto"/>
          <w:tblLayout w:type="fixed"/>
          <w:tblCellMar>
            <w:top w:w="15" w:type="dxa"/>
            <w:left w:w="15" w:type="dxa"/>
            <w:bottom w:w="15" w:type="dxa"/>
            <w:right w:w="15" w:type="dxa"/>
          </w:tblCellMar>
        </w:tblPrEx>
        <w:trPr>
          <w:trHeight w:val="977" w:hRule="atLeast"/>
          <w:jc w:val="center"/>
        </w:trPr>
        <w:tc>
          <w:tcPr>
            <w:tcW w:w="939" w:type="dxa"/>
            <w:vMerge w:val="restart"/>
            <w:tcBorders>
              <w:top w:val="single" w:color="auto" w:sz="4" w:space="0"/>
              <w:left w:val="single" w:color="000000"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p>
            <w:pPr>
              <w:shd w:val="clear"/>
              <w:rPr>
                <w:rFonts w:hint="eastAsia" w:ascii="仿宋_GB2312" w:hAnsi="宋体" w:eastAsia="仿宋_GB2312"/>
                <w:b w:val="0"/>
                <w:bCs w:val="0"/>
                <w:color w:val="000000"/>
                <w:sz w:val="24"/>
                <w:szCs w:val="24"/>
                <w:shd w:val="clear" w:color="auto" w:fill="auto"/>
              </w:rPr>
            </w:pPr>
          </w:p>
          <w:p>
            <w:pPr>
              <w:shd w:val="clear"/>
              <w:rPr>
                <w:rFonts w:hint="eastAsia" w:ascii="仿宋_GB2312" w:hAnsi="宋体" w:eastAsia="仿宋_GB2312"/>
                <w:b w:val="0"/>
                <w:bCs w:val="0"/>
                <w:color w:val="000000"/>
                <w:sz w:val="24"/>
                <w:szCs w:val="24"/>
                <w:shd w:val="clear" w:color="auto" w:fill="auto"/>
              </w:rPr>
            </w:pPr>
          </w:p>
          <w:p>
            <w:pPr>
              <w:shd w:val="clear"/>
              <w:rPr>
                <w:rFonts w:hint="eastAsia" w:ascii="仿宋_GB2312" w:hAnsi="宋体" w:eastAsia="仿宋_GB2312"/>
                <w:b w:val="0"/>
                <w:bCs w:val="0"/>
                <w:color w:val="000000"/>
                <w:sz w:val="24"/>
                <w:szCs w:val="24"/>
                <w:shd w:val="clear" w:color="auto" w:fill="auto"/>
              </w:rPr>
            </w:pPr>
          </w:p>
          <w:p>
            <w:pPr>
              <w:shd w:val="clear"/>
              <w:rPr>
                <w:rFonts w:hint="eastAsia" w:ascii="仿宋_GB2312" w:hAnsi="宋体" w:eastAsia="仿宋_GB2312"/>
                <w:b w:val="0"/>
                <w:bCs w:val="0"/>
                <w:color w:val="000000"/>
                <w:sz w:val="24"/>
                <w:szCs w:val="24"/>
                <w:shd w:val="clear" w:color="auto" w:fill="auto"/>
              </w:rPr>
            </w:pPr>
          </w:p>
          <w:p>
            <w:pPr>
              <w:shd w:val="clear"/>
              <w:rPr>
                <w:rFonts w:hint="eastAsia" w:ascii="仿宋_GB2312" w:hAnsi="宋体" w:eastAsia="仿宋_GB2312"/>
                <w:b w:val="0"/>
                <w:bCs w:val="0"/>
                <w:color w:val="000000"/>
                <w:sz w:val="24"/>
                <w:szCs w:val="24"/>
                <w:shd w:val="clear" w:color="auto" w:fill="auto"/>
              </w:rPr>
            </w:pPr>
          </w:p>
          <w:p>
            <w:pPr>
              <w:shd w:val="clear"/>
              <w:jc w:val="left"/>
              <w:rPr>
                <w:rFonts w:hint="eastAsia"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sz w:val="24"/>
                <w:szCs w:val="24"/>
                <w:shd w:val="clear" w:color="auto" w:fill="auto"/>
              </w:rPr>
              <w:t>干式变压器</w:t>
            </w:r>
          </w:p>
          <w:p>
            <w:pPr>
              <w:shd w:val="clear"/>
              <w:rPr>
                <w:rFonts w:ascii="仿宋_GB2312" w:hAnsi="宋体" w:eastAsia="仿宋_GB2312"/>
                <w:b w:val="0"/>
                <w:bCs w:val="0"/>
                <w:color w:val="000000"/>
                <w:sz w:val="24"/>
                <w:szCs w:val="24"/>
                <w:shd w:val="clear" w:color="auto" w:fill="auto"/>
              </w:rPr>
            </w:pPr>
          </w:p>
          <w:p>
            <w:pPr>
              <w:shd w:val="clear"/>
              <w:rPr>
                <w:rFonts w:hint="eastAsia" w:ascii="仿宋_GB2312" w:hAnsi="宋体" w:eastAsia="仿宋_GB2312"/>
                <w:b w:val="0"/>
                <w:bCs w:val="0"/>
                <w:color w:val="000000"/>
                <w:sz w:val="24"/>
                <w:szCs w:val="24"/>
                <w:shd w:val="clear" w:color="auto" w:fill="auto"/>
              </w:rPr>
            </w:pPr>
          </w:p>
          <w:p>
            <w:pPr>
              <w:shd w:val="clear"/>
              <w:rPr>
                <w:rFonts w:hint="eastAsia" w:ascii="仿宋_GB2312" w:hAnsi="宋体" w:eastAsia="仿宋_GB2312"/>
                <w:b w:val="0"/>
                <w:bCs w:val="0"/>
                <w:color w:val="000000"/>
                <w:sz w:val="24"/>
                <w:szCs w:val="24"/>
                <w:shd w:val="clear" w:color="auto" w:fill="auto"/>
              </w:rPr>
            </w:pPr>
          </w:p>
          <w:p>
            <w:pPr>
              <w:shd w:val="clear"/>
              <w:jc w:val="left"/>
              <w:rPr>
                <w:rFonts w:ascii="仿宋_GB2312" w:eastAsia="仿宋_GB2312"/>
                <w:b w:val="0"/>
                <w:bCs w:val="0"/>
                <w:szCs w:val="21"/>
                <w:shd w:val="clear" w:color="auto" w:fill="auto"/>
              </w:rPr>
            </w:pPr>
          </w:p>
        </w:tc>
        <w:tc>
          <w:tcPr>
            <w:tcW w:w="1253"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外观检查</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清扫积尘、清除靠近变压器的树枝、藤蔓、杂草等异物靠近、高低压套管有无破裂、渗油、外壳接地是否良好、免费护理一次变压器胶珠、套管胶垫</w:t>
            </w:r>
          </w:p>
        </w:tc>
        <w:tc>
          <w:tcPr>
            <w:tcW w:w="1589"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kern w:val="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tblLayout w:type="fixed"/>
          <w:tblCellMar>
            <w:top w:w="15" w:type="dxa"/>
            <w:left w:w="15" w:type="dxa"/>
            <w:bottom w:w="15" w:type="dxa"/>
            <w:right w:w="15" w:type="dxa"/>
          </w:tblCellMar>
        </w:tblPrEx>
        <w:trPr>
          <w:trHeight w:val="368" w:hRule="atLeast"/>
          <w:jc w:val="center"/>
        </w:trPr>
        <w:tc>
          <w:tcPr>
            <w:tcW w:w="939" w:type="dxa"/>
            <w:vMerge w:val="continue"/>
            <w:tcBorders>
              <w:left w:val="single" w:color="000000" w:sz="4" w:space="0"/>
              <w:right w:val="single" w:color="000000" w:sz="4" w:space="0"/>
            </w:tcBorders>
            <w:shd w:val="clear" w:color="auto" w:fill="auto"/>
            <w:vAlign w:val="top"/>
          </w:tcPr>
          <w:p>
            <w:pPr>
              <w:shd w:val="clear"/>
              <w:jc w:val="left"/>
              <w:rPr>
                <w:rFonts w:ascii="仿宋_GB2312" w:eastAsia="仿宋_GB2312"/>
                <w:b w:val="0"/>
                <w:bCs w:val="0"/>
                <w:szCs w:val="21"/>
                <w:shd w:val="clear" w:color="auto" w:fill="auto"/>
              </w:rPr>
            </w:pPr>
          </w:p>
        </w:tc>
        <w:tc>
          <w:tcPr>
            <w:tcW w:w="1253" w:type="dxa"/>
            <w:tcBorders>
              <w:top w:val="single" w:color="auto" w:sz="4" w:space="0"/>
              <w:left w:val="nil"/>
              <w:bottom w:val="single" w:color="auto" w:sz="4" w:space="0"/>
              <w:right w:val="single" w:color="000000" w:sz="4" w:space="0"/>
            </w:tcBorders>
            <w:shd w:val="clear" w:color="auto" w:fill="auto"/>
            <w:vAlign w:val="top"/>
          </w:tcPr>
          <w:p>
            <w:pPr>
              <w:shd w:val="clear"/>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高、低压接线柱</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高、低压接线、导杆本体有无松动</w:t>
            </w:r>
          </w:p>
        </w:tc>
        <w:tc>
          <w:tcPr>
            <w:tcW w:w="1589" w:type="dxa"/>
            <w:gridSpan w:val="2"/>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p>
          <w:p>
            <w:pPr>
              <w:widowControl/>
              <w:shd w:val="clear"/>
              <w:jc w:val="left"/>
              <w:textAlignment w:val="top"/>
              <w:rPr>
                <w:rFonts w:ascii="仿宋_GB2312" w:hAnsi="宋体" w:eastAsia="仿宋_GB2312"/>
                <w:b w:val="0"/>
                <w:bCs w:val="0"/>
                <w:color w:val="000000"/>
                <w:kern w:val="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tblLayout w:type="fixed"/>
          <w:tblCellMar>
            <w:top w:w="15" w:type="dxa"/>
            <w:left w:w="15" w:type="dxa"/>
            <w:bottom w:w="15" w:type="dxa"/>
            <w:right w:w="15" w:type="dxa"/>
          </w:tblCellMar>
        </w:tblPrEx>
        <w:trPr>
          <w:trHeight w:val="352" w:hRule="atLeast"/>
          <w:jc w:val="center"/>
        </w:trPr>
        <w:tc>
          <w:tcPr>
            <w:tcW w:w="939" w:type="dxa"/>
            <w:vMerge w:val="continue"/>
            <w:tcBorders>
              <w:left w:val="single" w:color="000000"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tc>
        <w:tc>
          <w:tcPr>
            <w:tcW w:w="1253"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高压组别联杆</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高压组别联杆有无松动、进行紧固</w:t>
            </w:r>
          </w:p>
        </w:tc>
        <w:tc>
          <w:tcPr>
            <w:tcW w:w="1589"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kern w:val="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365" w:hRule="atLeast"/>
          <w:jc w:val="center"/>
        </w:trPr>
        <w:tc>
          <w:tcPr>
            <w:tcW w:w="939" w:type="dxa"/>
            <w:vMerge w:val="continue"/>
            <w:tcBorders>
              <w:left w:val="single" w:color="000000"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tc>
        <w:tc>
          <w:tcPr>
            <w:tcW w:w="1253"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高压分接联片</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调压分接联接片螺丝紧固</w:t>
            </w:r>
          </w:p>
        </w:tc>
        <w:tc>
          <w:tcPr>
            <w:tcW w:w="1589"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kern w:val="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tblLayout w:type="fixed"/>
          <w:tblCellMar>
            <w:top w:w="15" w:type="dxa"/>
            <w:left w:w="15" w:type="dxa"/>
            <w:bottom w:w="15" w:type="dxa"/>
            <w:right w:w="15" w:type="dxa"/>
          </w:tblCellMar>
        </w:tblPrEx>
        <w:trPr>
          <w:trHeight w:val="392" w:hRule="atLeast"/>
          <w:jc w:val="center"/>
        </w:trPr>
        <w:tc>
          <w:tcPr>
            <w:tcW w:w="939" w:type="dxa"/>
            <w:vMerge w:val="continue"/>
            <w:tcBorders>
              <w:left w:val="single" w:color="000000"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tc>
        <w:tc>
          <w:tcPr>
            <w:tcW w:w="1253"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变压器温控仪、风机</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运行是否正常、启动是否正常、有无碰壳现象</w:t>
            </w:r>
          </w:p>
        </w:tc>
        <w:tc>
          <w:tcPr>
            <w:tcW w:w="1589"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kern w:val="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329" w:hRule="atLeast"/>
          <w:jc w:val="center"/>
        </w:trPr>
        <w:tc>
          <w:tcPr>
            <w:tcW w:w="939" w:type="dxa"/>
            <w:vMerge w:val="continue"/>
            <w:tcBorders>
              <w:left w:val="single" w:color="000000" w:sz="4" w:space="0"/>
              <w:bottom w:val="single" w:color="auto" w:sz="4" w:space="0"/>
              <w:right w:val="single" w:color="000000" w:sz="4" w:space="0"/>
            </w:tcBorders>
            <w:shd w:val="clear" w:color="auto" w:fill="auto"/>
            <w:vAlign w:val="top"/>
          </w:tcPr>
          <w:p>
            <w:pPr>
              <w:shd w:val="clear"/>
              <w:rPr>
                <w:rFonts w:ascii="仿宋_GB2312" w:hAnsi="宋体" w:eastAsia="仿宋_GB2312"/>
                <w:b w:val="0"/>
                <w:bCs w:val="0"/>
                <w:color w:val="000000"/>
                <w:sz w:val="24"/>
                <w:szCs w:val="24"/>
                <w:shd w:val="clear" w:color="auto" w:fill="auto"/>
              </w:rPr>
            </w:pPr>
          </w:p>
        </w:tc>
        <w:tc>
          <w:tcPr>
            <w:tcW w:w="1253"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变压器各部位螺栓</w:t>
            </w:r>
          </w:p>
        </w:tc>
        <w:tc>
          <w:tcPr>
            <w:tcW w:w="4156" w:type="dxa"/>
            <w:tcBorders>
              <w:top w:val="single" w:color="auto" w:sz="4" w:space="0"/>
              <w:left w:val="nil"/>
              <w:bottom w:val="single" w:color="auto"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kern w:val="0"/>
                <w:sz w:val="24"/>
                <w:szCs w:val="24"/>
                <w:shd w:val="clear" w:color="auto" w:fill="auto"/>
              </w:rPr>
            </w:pPr>
            <w:r>
              <w:rPr>
                <w:rFonts w:hint="eastAsia" w:ascii="仿宋_GB2312" w:hAnsi="宋体" w:eastAsia="仿宋_GB2312"/>
                <w:b w:val="0"/>
                <w:bCs w:val="0"/>
                <w:color w:val="000000"/>
                <w:kern w:val="0"/>
                <w:sz w:val="24"/>
                <w:szCs w:val="24"/>
                <w:shd w:val="clear" w:color="auto" w:fill="auto"/>
              </w:rPr>
              <w:t>变压器各部位螺栓紧固、绝缘垫块有无移位、松动或脱落</w:t>
            </w:r>
          </w:p>
        </w:tc>
        <w:tc>
          <w:tcPr>
            <w:tcW w:w="1589"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kern w:val="0"/>
                <w:sz w:val="40"/>
                <w:szCs w:val="40"/>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2356" w:hRule="atLeast"/>
          <w:jc w:val="center"/>
        </w:trPr>
        <w:tc>
          <w:tcPr>
            <w:tcW w:w="939" w:type="dxa"/>
            <w:vMerge w:val="restart"/>
            <w:tcBorders>
              <w:top w:val="single" w:color="000000" w:sz="4" w:space="0"/>
              <w:left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户内高压设备</w:t>
            </w: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高压进线柜</w:t>
            </w:r>
          </w:p>
        </w:tc>
        <w:tc>
          <w:tcPr>
            <w:tcW w:w="4156"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检查开关分、合闸操作是否正常，开关机械传动部加润滑油。检查一、二次接线有无烧坏，绝缘部位有无放电痕迹检查指示灯、仪表是否正常。封堵柜内孔洞。检查柜门、锁有无损坏，柜门开、闭是否正常。清扫柜内有无积尘、蜘蛛网。</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外部线路停电配合情况下进行；无异常情况不能专门办理。</w:t>
            </w: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1100"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高压计量柜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检查一、二次接线有无烧坏，绝缘部位有无放电痕迹。封堵柜内孔洞。检查柜门、锁有无损坏，柜门开、闭是否正常。清扫柜内积尘、蜘蛛网等。</w:t>
            </w:r>
          </w:p>
        </w:tc>
        <w:tc>
          <w:tcPr>
            <w:tcW w:w="1589" w:type="dxa"/>
            <w:gridSpan w:val="2"/>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在征得供电局同意的情况下方可拆除铅封开柜检查。</w:t>
            </w:r>
            <w:r>
              <w:rPr>
                <w:rFonts w:hint="eastAsia" w:ascii="仿宋_GB2312" w:hAnsi="宋体" w:eastAsia="仿宋_GB2312"/>
                <w:b w:val="0"/>
                <w:bCs w:val="0"/>
                <w:color w:val="000000"/>
                <w:sz w:val="24"/>
                <w:szCs w:val="24"/>
                <w:shd w:val="clear" w:color="auto" w:fill="auto"/>
              </w:rPr>
              <w:t>半年1次</w:t>
            </w:r>
          </w:p>
        </w:tc>
      </w:tr>
      <w:tr>
        <w:tblPrEx>
          <w:tblLayout w:type="fixed"/>
          <w:tblCellMar>
            <w:top w:w="15" w:type="dxa"/>
            <w:left w:w="15" w:type="dxa"/>
            <w:bottom w:w="15" w:type="dxa"/>
            <w:right w:w="15" w:type="dxa"/>
          </w:tblCellMar>
        </w:tblPrEx>
        <w:trPr>
          <w:trHeight w:val="2220"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高压母联柜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检查开关分、合闸操作是否正常，开关机械传动部加润滑油。检查一、二次接线有无烧坏，绝缘部位有无放电痕迹。封堵柜内孔洞。检查柜门、锁有无损坏，柜门开、闭是否正常。检查指示灯、仪表是否正常。清扫柜内积尘、蜘蛛网等。</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2190" w:hRule="atLeast"/>
          <w:jc w:val="center"/>
        </w:trPr>
        <w:tc>
          <w:tcPr>
            <w:tcW w:w="939" w:type="dxa"/>
            <w:vMerge w:val="continue"/>
            <w:tcBorders>
              <w:left w:val="single" w:color="000000" w:sz="4" w:space="0"/>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高压出线柜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检查开关分、合闸操作是否正常，开关机械传动部加润滑油。检查一、二次接线有无烧坏，绝缘部位有无放电痕迹。封堵柜内孔洞。检查柜门、锁有无损坏，柜门开、闭是否正常。检查指示灯、登记表是否正常。清扫柜内积尘、蜘蛛网等。</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2100" w:hRule="atLeast"/>
          <w:jc w:val="center"/>
        </w:trPr>
        <w:tc>
          <w:tcPr>
            <w:tcW w:w="939" w:type="dxa"/>
            <w:vMerge w:val="restart"/>
            <w:tcBorders>
              <w:top w:val="single" w:color="000000" w:sz="4" w:space="0"/>
              <w:left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户内低压设备</w:t>
            </w: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低压进线柜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检查刀开关分、断路器分、合闸操作是否正常，开关机械传动部加润滑油。检查一、二次接线有无烧坏，绝缘部位有无放电痕迹。封堵柜内孔洞。检查柜门、锁有无损坏，柜门开、闭是否正常。检查指示灯、仪表是否正常。清扫柜内积尘、蜘蛛网等。</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1070"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低压计量柜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检查一、二次接线有无烧坏，绝缘部位有无放电痕迹。封堵柜内孔洞。检查柜门、锁有无损坏，柜门开、闭是否正常。清扫柜内积尘、蜘蛛网等。</w:t>
            </w:r>
          </w:p>
        </w:tc>
        <w:tc>
          <w:tcPr>
            <w:tcW w:w="1589" w:type="dxa"/>
            <w:gridSpan w:val="2"/>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在征得供电局同意的情况下方可拆除铅封开柜检查。</w:t>
            </w: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2070"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低压母联柜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检查刀开关分、断路器分、合闸操作是否正常，开关机械传动部加润滑油。检查一、二次接线有无烧坏，绝缘部位有无放电痕迹。检查指示灯、仪表是否正常。封堵柜内孔洞。检查柜门、锁有无损坏，柜门开、闭是否正常。清扫柜内积尘、蜘蛛网等。</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r>
              <w:rPr>
                <w:rFonts w:hint="eastAsia" w:ascii="仿宋_GB2312" w:hAnsi="宋体" w:eastAsia="仿宋_GB2312"/>
                <w:b w:val="0"/>
                <w:bCs w:val="0"/>
                <w:color w:val="000000"/>
                <w:sz w:val="24"/>
                <w:szCs w:val="24"/>
                <w:shd w:val="clear" w:color="auto" w:fill="auto"/>
              </w:rPr>
              <w:t>半年1次</w:t>
            </w:r>
          </w:p>
        </w:tc>
      </w:tr>
      <w:tr>
        <w:tblPrEx>
          <w:tblLayout w:type="fixed"/>
          <w:tblCellMar>
            <w:top w:w="15" w:type="dxa"/>
            <w:left w:w="15" w:type="dxa"/>
            <w:bottom w:w="15" w:type="dxa"/>
            <w:right w:w="15" w:type="dxa"/>
          </w:tblCellMar>
        </w:tblPrEx>
        <w:trPr>
          <w:trHeight w:val="2340"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低压出线柜</w:t>
            </w:r>
          </w:p>
        </w:tc>
        <w:tc>
          <w:tcPr>
            <w:tcW w:w="4156" w:type="dxa"/>
            <w:tcBorders>
              <w:top w:val="single" w:color="000000" w:sz="4" w:space="0"/>
              <w:left w:val="nil"/>
              <w:bottom w:val="single" w:color="000000" w:sz="4" w:space="0"/>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检查刀开关分、断路器、空气开关分、合闸操作是否正常，开关机械传动部加润滑油。检查一、二次接线有无烧坏，绝缘部位有无放电痕迹。检查指示灯、仪表是否正常。封堵柜内孔洞。检查柜门、锁有无损坏，柜门开、闭是否正常。清扫柜内积尘、蜘蛛网等。</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2160" w:hRule="atLeast"/>
          <w:jc w:val="center"/>
        </w:trPr>
        <w:tc>
          <w:tcPr>
            <w:tcW w:w="939" w:type="dxa"/>
            <w:vMerge w:val="continue"/>
            <w:tcBorders>
              <w:left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p>
        </w:tc>
        <w:tc>
          <w:tcPr>
            <w:tcW w:w="1253" w:type="dxa"/>
            <w:tcBorders>
              <w:top w:val="single" w:color="000000" w:sz="4" w:space="0"/>
              <w:left w:val="nil"/>
              <w:bottom w:val="nil"/>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电容柜</w:t>
            </w:r>
          </w:p>
        </w:tc>
        <w:tc>
          <w:tcPr>
            <w:tcW w:w="4156" w:type="dxa"/>
            <w:tcBorders>
              <w:top w:val="single" w:color="000000" w:sz="4" w:space="0"/>
              <w:left w:val="nil"/>
              <w:bottom w:val="nil"/>
              <w:right w:val="single" w:color="000000" w:sz="4" w:space="0"/>
            </w:tcBorders>
            <w:shd w:val="clear" w:color="auto" w:fill="auto"/>
            <w:vAlign w:val="top"/>
          </w:tcPr>
          <w:p>
            <w:pPr>
              <w:widowControl/>
              <w:shd w:val="clear"/>
              <w:jc w:val="left"/>
              <w:textAlignment w:val="top"/>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检查无功补偿装置是否正常。刀开关、接触器有、无故障。更换外观检查有无变形的电容。检查一、二次接线有无烧坏，绝缘部位有无放电痕迹。检查指示灯、仪表是否正常。封堵柜内孔洞。检查柜门、锁有无损坏，柜门开、闭是否正常。清扫柜内积尘、蜘蛛网等。</w:t>
            </w:r>
          </w:p>
        </w:tc>
        <w:tc>
          <w:tcPr>
            <w:tcW w:w="1589" w:type="dxa"/>
            <w:gridSpan w:val="2"/>
            <w:tcBorders>
              <w:top w:val="single" w:color="000000" w:sz="4" w:space="0"/>
              <w:left w:val="nil"/>
              <w:bottom w:val="nil"/>
              <w:right w:val="single" w:color="000000" w:sz="4" w:space="0"/>
            </w:tcBorders>
            <w:shd w:val="clear" w:color="auto" w:fill="auto"/>
            <w:vAlign w:val="center"/>
          </w:tcPr>
          <w:p>
            <w:pPr>
              <w:shd w:val="clear"/>
              <w:rPr>
                <w:rFonts w:ascii="仿宋_GB2312" w:hAnsi="宋体" w:eastAsia="仿宋_GB2312"/>
                <w:b w:val="0"/>
                <w:bCs w:val="0"/>
                <w:color w:val="000000"/>
                <w:sz w:val="32"/>
                <w:szCs w:val="32"/>
                <w:shd w:val="clear" w:color="auto" w:fill="auto"/>
              </w:rPr>
            </w:pPr>
            <w:r>
              <w:rPr>
                <w:rFonts w:hint="eastAsia" w:ascii="仿宋_GB2312" w:hAnsi="宋体" w:eastAsia="仿宋_GB2312"/>
                <w:b w:val="0"/>
                <w:bCs w:val="0"/>
                <w:color w:val="000000"/>
                <w:sz w:val="24"/>
                <w:szCs w:val="24"/>
                <w:shd w:val="clear" w:color="auto" w:fill="auto"/>
              </w:rPr>
              <w:t>半年1次</w:t>
            </w:r>
          </w:p>
        </w:tc>
      </w:tr>
      <w:tr>
        <w:tblPrEx>
          <w:shd w:val="clear" w:color="auto" w:fill="auto"/>
          <w:tblLayout w:type="fixed"/>
          <w:tblCellMar>
            <w:top w:w="15" w:type="dxa"/>
            <w:left w:w="15" w:type="dxa"/>
            <w:bottom w:w="15" w:type="dxa"/>
            <w:right w:w="15" w:type="dxa"/>
          </w:tblCellMar>
        </w:tblPrEx>
        <w:trPr>
          <w:trHeight w:val="1980" w:hRule="atLeast"/>
          <w:jc w:val="center"/>
        </w:trPr>
        <w:tc>
          <w:tcPr>
            <w:tcW w:w="939" w:type="dxa"/>
            <w:vMerge w:val="continue"/>
            <w:tcBorders>
              <w:left w:val="single" w:color="000000" w:sz="4" w:space="0"/>
              <w:bottom w:val="single" w:color="000000" w:sz="4" w:space="0"/>
              <w:right w:val="single" w:color="000000" w:sz="4" w:space="0"/>
            </w:tcBorders>
            <w:shd w:val="clear" w:color="auto" w:fill="auto"/>
            <w:vAlign w:val="center"/>
          </w:tcPr>
          <w:p>
            <w:pPr>
              <w:shd w:val="clear"/>
              <w:jc w:val="center"/>
              <w:rPr>
                <w:rFonts w:ascii="仿宋_GB2312" w:hAnsi="宋体" w:eastAsia="仿宋_GB2312"/>
                <w:b w:val="0"/>
                <w:bCs w:val="0"/>
                <w:color w:val="000000"/>
                <w:sz w:val="20"/>
                <w:szCs w:val="20"/>
                <w:shd w:val="clear" w:color="auto" w:fill="auto"/>
              </w:rPr>
            </w:pPr>
          </w:p>
        </w:tc>
        <w:tc>
          <w:tcPr>
            <w:tcW w:w="1253"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8"/>
                <w:szCs w:val="28"/>
                <w:shd w:val="clear" w:color="auto" w:fill="auto"/>
              </w:rPr>
            </w:pPr>
            <w:r>
              <w:rPr>
                <w:rFonts w:hint="eastAsia" w:ascii="仿宋_GB2312" w:hAnsi="宋体" w:eastAsia="仿宋_GB2312"/>
                <w:b w:val="0"/>
                <w:bCs w:val="0"/>
                <w:color w:val="000000"/>
                <w:kern w:val="0"/>
                <w:sz w:val="24"/>
                <w:szCs w:val="24"/>
                <w:shd w:val="clear" w:color="auto" w:fill="auto"/>
              </w:rPr>
              <w:t>低压配电箱</w:t>
            </w:r>
          </w:p>
        </w:tc>
        <w:tc>
          <w:tcPr>
            <w:tcW w:w="4156" w:type="dxa"/>
            <w:tcBorders>
              <w:top w:val="single" w:color="000000" w:sz="4" w:space="0"/>
              <w:left w:val="nil"/>
              <w:bottom w:val="single" w:color="000000" w:sz="4" w:space="0"/>
              <w:right w:val="single" w:color="000000" w:sz="4" w:space="0"/>
            </w:tcBorders>
            <w:shd w:val="clear" w:color="auto" w:fill="auto"/>
            <w:vAlign w:val="center"/>
          </w:tcPr>
          <w:p>
            <w:pPr>
              <w:widowControl/>
              <w:shd w:val="clear"/>
              <w:jc w:val="left"/>
              <w:textAlignment w:val="center"/>
              <w:rPr>
                <w:rFonts w:ascii="仿宋_GB2312" w:hAnsi="宋体" w:eastAsia="仿宋_GB2312"/>
                <w:b w:val="0"/>
                <w:bCs w:val="0"/>
                <w:color w:val="000000"/>
                <w:sz w:val="24"/>
                <w:szCs w:val="24"/>
                <w:shd w:val="clear" w:color="auto" w:fill="auto"/>
              </w:rPr>
            </w:pPr>
            <w:r>
              <w:rPr>
                <w:rFonts w:hint="eastAsia" w:ascii="仿宋_GB2312" w:hAnsi="宋体" w:eastAsia="仿宋_GB2312"/>
                <w:b w:val="0"/>
                <w:bCs w:val="0"/>
                <w:color w:val="000000"/>
                <w:kern w:val="0"/>
                <w:sz w:val="24"/>
                <w:szCs w:val="24"/>
                <w:shd w:val="clear" w:color="auto" w:fill="auto"/>
              </w:rPr>
              <w:t>总进线开关分、合是否正常，检查一、二次接线是否有发热、烧焦现象。封堵柜内孔洞。检查柜门、锁有无损坏，柜门开、闭是否正常。清扫柜内积尘、蜘蛛网等。</w:t>
            </w:r>
          </w:p>
        </w:tc>
        <w:tc>
          <w:tcPr>
            <w:tcW w:w="1589" w:type="dxa"/>
            <w:gridSpan w:val="2"/>
            <w:tcBorders>
              <w:top w:val="single" w:color="000000" w:sz="4" w:space="0"/>
              <w:left w:val="nil"/>
              <w:bottom w:val="single" w:color="000000" w:sz="4" w:space="0"/>
              <w:right w:val="single" w:color="000000" w:sz="4" w:space="0"/>
            </w:tcBorders>
            <w:shd w:val="clear" w:color="auto" w:fill="auto"/>
            <w:vAlign w:val="center"/>
          </w:tcPr>
          <w:p>
            <w:pPr>
              <w:shd w:val="clear"/>
              <w:rPr>
                <w:rFonts w:ascii="仿宋_GB2312" w:hAnsi="宋体" w:eastAsia="仿宋_GB2312"/>
                <w:b w:val="0"/>
                <w:bCs w:val="0"/>
                <w:color w:val="000000"/>
                <w:sz w:val="20"/>
                <w:szCs w:val="20"/>
                <w:shd w:val="clear" w:color="auto" w:fill="auto"/>
              </w:rPr>
            </w:pPr>
            <w:r>
              <w:rPr>
                <w:rFonts w:hint="eastAsia" w:ascii="仿宋_GB2312" w:hAnsi="宋体" w:eastAsia="仿宋_GB2312"/>
                <w:b w:val="0"/>
                <w:bCs w:val="0"/>
                <w:color w:val="000000"/>
                <w:sz w:val="24"/>
                <w:szCs w:val="24"/>
                <w:shd w:val="clear" w:color="auto" w:fill="auto"/>
              </w:rPr>
              <w:t>半年1次</w:t>
            </w:r>
          </w:p>
        </w:tc>
      </w:tr>
    </w:tbl>
    <w:p>
      <w:pPr>
        <w:shd w:val="clear"/>
        <w:spacing w:line="560" w:lineRule="exact"/>
        <w:rPr>
          <w:rFonts w:hint="eastAsia" w:ascii="仿宋_GB2312" w:eastAsia="仿宋_GB2312"/>
          <w:b w:val="0"/>
          <w:bCs w:val="0"/>
          <w:sz w:val="32"/>
          <w:szCs w:val="32"/>
        </w:rPr>
      </w:pPr>
    </w:p>
    <w:p>
      <w:pPr>
        <w:shd w:val="clear"/>
        <w:spacing w:line="560" w:lineRule="exact"/>
        <w:rPr>
          <w:rFonts w:hint="eastAsia" w:ascii="仿宋_GB2312" w:eastAsia="仿宋_GB2312"/>
          <w:b w:val="0"/>
          <w:bCs w:val="0"/>
          <w:sz w:val="32"/>
          <w:szCs w:val="32"/>
        </w:rPr>
      </w:pPr>
    </w:p>
    <w:p>
      <w:pPr>
        <w:numPr>
          <w:ilvl w:val="0"/>
          <w:numId w:val="0"/>
        </w:numPr>
        <w:shd w:val="clear"/>
        <w:spacing w:line="560" w:lineRule="exact"/>
        <w:ind w:firstLine="3200" w:firstLineChars="1000"/>
        <w:jc w:val="both"/>
        <w:rPr>
          <w:rFonts w:hint="eastAsia"/>
        </w:rPr>
      </w:pPr>
      <w:r>
        <w:rPr>
          <w:rFonts w:hint="eastAsia" w:ascii="仿宋_GB2312" w:eastAsia="仿宋_GB2312"/>
          <w:b w:val="0"/>
          <w:bCs w:val="0"/>
          <w:sz w:val="32"/>
          <w:szCs w:val="32"/>
          <w:lang w:val="en-US" w:eastAsia="zh-CN"/>
        </w:rPr>
        <w:t>2.</w:t>
      </w:r>
      <w:r>
        <w:rPr>
          <w:rFonts w:hint="eastAsia" w:ascii="仿宋_GB2312" w:eastAsia="仿宋_GB2312"/>
          <w:b w:val="0"/>
          <w:bCs w:val="0"/>
          <w:sz w:val="32"/>
          <w:szCs w:val="32"/>
        </w:rPr>
        <w:t>具体实验内容</w:t>
      </w:r>
    </w:p>
    <w:tbl>
      <w:tblPr>
        <w:tblStyle w:val="12"/>
        <w:tblW w:w="8340" w:type="dxa"/>
        <w:tblInd w:w="95" w:type="dxa"/>
        <w:tblLayout w:type="fixed"/>
        <w:tblCellMar>
          <w:top w:w="15" w:type="dxa"/>
          <w:left w:w="15" w:type="dxa"/>
          <w:bottom w:w="15" w:type="dxa"/>
          <w:right w:w="15" w:type="dxa"/>
        </w:tblCellMar>
      </w:tblPr>
      <w:tblGrid>
        <w:gridCol w:w="1497"/>
        <w:gridCol w:w="5520"/>
        <w:gridCol w:w="1323"/>
      </w:tblGrid>
      <w:tr>
        <w:tblPrEx>
          <w:tblLayout w:type="fixed"/>
          <w:tblCellMar>
            <w:top w:w="15" w:type="dxa"/>
            <w:left w:w="15" w:type="dxa"/>
            <w:bottom w:w="15" w:type="dxa"/>
            <w:right w:w="15" w:type="dxa"/>
          </w:tblCellMar>
        </w:tblPrEx>
        <w:trPr>
          <w:trHeight w:val="784" w:hRule="atLeast"/>
        </w:trPr>
        <w:tc>
          <w:tcPr>
            <w:tcW w:w="1497" w:type="dxa"/>
            <w:tcBorders>
              <w:top w:val="single" w:color="000000" w:sz="4" w:space="0"/>
              <w:left w:val="single" w:color="000000" w:sz="4" w:space="0"/>
              <w:bottom w:val="single" w:color="auto" w:sz="4" w:space="0"/>
              <w:right w:val="single" w:color="000000" w:sz="4" w:space="0"/>
            </w:tcBorders>
            <w:vAlign w:val="center"/>
          </w:tcPr>
          <w:p>
            <w:pPr>
              <w:widowControl/>
              <w:shd w:val="clear"/>
              <w:jc w:val="center"/>
              <w:textAlignment w:val="center"/>
              <w:rPr>
                <w:rFonts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主要试验设备</w:t>
            </w:r>
          </w:p>
        </w:tc>
        <w:tc>
          <w:tcPr>
            <w:tcW w:w="5520" w:type="dxa"/>
            <w:tcBorders>
              <w:top w:val="single" w:color="000000" w:sz="4" w:space="0"/>
              <w:left w:val="nil"/>
              <w:bottom w:val="single" w:color="auto" w:sz="4" w:space="0"/>
              <w:right w:val="single" w:color="000000" w:sz="4" w:space="0"/>
            </w:tcBorders>
            <w:vAlign w:val="center"/>
          </w:tcPr>
          <w:p>
            <w:pPr>
              <w:widowControl/>
              <w:shd w:val="clear"/>
              <w:jc w:val="center"/>
              <w:textAlignment w:val="top"/>
              <w:rPr>
                <w:rFonts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主要实验内容</w:t>
            </w:r>
          </w:p>
        </w:tc>
        <w:tc>
          <w:tcPr>
            <w:tcW w:w="1323" w:type="dxa"/>
            <w:tcBorders>
              <w:top w:val="single" w:color="000000" w:sz="4" w:space="0"/>
              <w:left w:val="nil"/>
              <w:bottom w:val="single" w:color="auto" w:sz="4" w:space="0"/>
              <w:right w:val="single" w:color="000000" w:sz="4" w:space="0"/>
            </w:tcBorders>
            <w:vAlign w:val="center"/>
          </w:tcPr>
          <w:p>
            <w:pPr>
              <w:shd w:val="clear"/>
              <w:jc w:val="center"/>
              <w:rPr>
                <w:rFonts w:hint="eastAsia" w:ascii="仿宋_GB2312" w:hAnsi="宋体" w:eastAsia="仿宋_GB2312"/>
                <w:b w:val="0"/>
                <w:bCs w:val="0"/>
                <w:color w:val="000000"/>
                <w:sz w:val="32"/>
                <w:szCs w:val="32"/>
                <w:lang w:eastAsia="zh-CN"/>
              </w:rPr>
            </w:pPr>
            <w:r>
              <w:rPr>
                <w:rFonts w:hint="eastAsia" w:ascii="仿宋_GB2312" w:hAnsi="宋体" w:eastAsia="仿宋_GB2312"/>
                <w:b w:val="0"/>
                <w:bCs w:val="0"/>
                <w:color w:val="000000"/>
                <w:sz w:val="24"/>
                <w:szCs w:val="24"/>
                <w:lang w:val="en-US" w:eastAsia="zh-CN"/>
              </w:rPr>
              <w:t>工作要求</w:t>
            </w:r>
          </w:p>
        </w:tc>
      </w:tr>
      <w:tr>
        <w:tblPrEx>
          <w:tblLayout w:type="fixed"/>
          <w:tblCellMar>
            <w:top w:w="15" w:type="dxa"/>
            <w:left w:w="15" w:type="dxa"/>
            <w:bottom w:w="15" w:type="dxa"/>
            <w:right w:w="15" w:type="dxa"/>
          </w:tblCellMar>
        </w:tblPrEx>
        <w:trPr>
          <w:trHeight w:val="919" w:hRule="atLeast"/>
        </w:trPr>
        <w:tc>
          <w:tcPr>
            <w:tcW w:w="1497" w:type="dxa"/>
            <w:tcBorders>
              <w:top w:val="single" w:color="auto"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变压器</w:t>
            </w:r>
          </w:p>
        </w:tc>
        <w:tc>
          <w:tcPr>
            <w:tcW w:w="5520" w:type="dxa"/>
            <w:tcBorders>
              <w:top w:val="single" w:color="auto"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绝缘电阻测试、直流测试、交流耐压、变压器变比测试</w:t>
            </w:r>
          </w:p>
        </w:tc>
        <w:tc>
          <w:tcPr>
            <w:tcW w:w="1323" w:type="dxa"/>
            <w:tcBorders>
              <w:top w:val="single" w:color="auto"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高压进线柜</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绝缘电阻测试、交流耐压</w:t>
            </w:r>
          </w:p>
        </w:tc>
        <w:tc>
          <w:tcPr>
            <w:tcW w:w="1323" w:type="dxa"/>
            <w:tcBorders>
              <w:top w:val="single" w:color="000000" w:sz="4" w:space="0"/>
              <w:left w:val="nil"/>
              <w:bottom w:val="single" w:color="000000" w:sz="4" w:space="0"/>
              <w:right w:val="single" w:color="000000" w:sz="4" w:space="0"/>
            </w:tcBorders>
            <w:vAlign w:val="top"/>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高压计量柜</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绝缘电阻测试、交流耐压</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高压出线柜</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绝缘电阻测试、交流耐压</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nil"/>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高压母联柜</w:t>
            </w:r>
          </w:p>
        </w:tc>
        <w:tc>
          <w:tcPr>
            <w:tcW w:w="5520" w:type="dxa"/>
            <w:tcBorders>
              <w:top w:val="single" w:color="000000" w:sz="4" w:space="0"/>
              <w:left w:val="nil"/>
              <w:bottom w:val="nil"/>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绝缘电阻测试、交流耐压</w:t>
            </w:r>
          </w:p>
        </w:tc>
        <w:tc>
          <w:tcPr>
            <w:tcW w:w="1323" w:type="dxa"/>
            <w:tcBorders>
              <w:top w:val="single" w:color="000000" w:sz="4" w:space="0"/>
              <w:left w:val="nil"/>
              <w:bottom w:val="nil"/>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高压负荷开关</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绝缘电阻测试、交流耐压</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auto"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高压令克</w:t>
            </w:r>
          </w:p>
        </w:tc>
        <w:tc>
          <w:tcPr>
            <w:tcW w:w="5520" w:type="dxa"/>
            <w:tcBorders>
              <w:top w:val="single" w:color="000000" w:sz="4" w:space="0"/>
              <w:left w:val="nil"/>
              <w:bottom w:val="single" w:color="auto"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绝缘电阻测试、交流耐压</w:t>
            </w:r>
          </w:p>
        </w:tc>
        <w:tc>
          <w:tcPr>
            <w:tcW w:w="1323" w:type="dxa"/>
            <w:tcBorders>
              <w:top w:val="single" w:color="000000" w:sz="4" w:space="0"/>
              <w:left w:val="nil"/>
              <w:bottom w:val="single" w:color="auto"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auto"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变压器油样</w:t>
            </w:r>
          </w:p>
        </w:tc>
        <w:tc>
          <w:tcPr>
            <w:tcW w:w="5520" w:type="dxa"/>
            <w:tcBorders>
              <w:top w:val="single" w:color="auto"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油样常规测试</w:t>
            </w:r>
          </w:p>
        </w:tc>
        <w:tc>
          <w:tcPr>
            <w:tcW w:w="1323" w:type="dxa"/>
            <w:tcBorders>
              <w:top w:val="single" w:color="auto"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2年一次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自投备</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备用电源自动投入测试</w:t>
            </w:r>
          </w:p>
        </w:tc>
        <w:tc>
          <w:tcPr>
            <w:tcW w:w="1323" w:type="dxa"/>
            <w:tcBorders>
              <w:top w:val="single" w:color="000000" w:sz="4" w:space="0"/>
              <w:left w:val="nil"/>
              <w:bottom w:val="single" w:color="000000" w:sz="4" w:space="0"/>
              <w:right w:val="single" w:color="000000" w:sz="4" w:space="0"/>
            </w:tcBorders>
            <w:vAlign w:val="top"/>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继电保护</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保护设定值及校验</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接地网</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接地电阻测试</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919" w:hRule="atLeast"/>
        </w:trPr>
        <w:tc>
          <w:tcPr>
            <w:tcW w:w="1497" w:type="dxa"/>
            <w:tcBorders>
              <w:top w:val="single" w:color="000000" w:sz="4" w:space="0"/>
              <w:left w:val="single" w:color="000000" w:sz="4" w:space="0"/>
              <w:bottom w:val="nil"/>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发电机</w:t>
            </w:r>
          </w:p>
        </w:tc>
        <w:tc>
          <w:tcPr>
            <w:tcW w:w="5520" w:type="dxa"/>
            <w:tcBorders>
              <w:top w:val="single" w:color="000000" w:sz="4" w:space="0"/>
              <w:left w:val="nil"/>
              <w:bottom w:val="nil"/>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发电机闭锁试验、本体试验（绝缘、直流电阻）、自动试验及一次接线图绘制</w:t>
            </w:r>
          </w:p>
        </w:tc>
        <w:tc>
          <w:tcPr>
            <w:tcW w:w="1323" w:type="dxa"/>
            <w:tcBorders>
              <w:top w:val="single" w:color="000000" w:sz="4" w:space="0"/>
              <w:left w:val="nil"/>
              <w:bottom w:val="nil"/>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蓄电池</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蓄电池容量测试、放电试验</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安全工器具</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绝缘手套、绝缘靴、令克棒、验电器</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仪表</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精度校验</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低压电缆</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低压进线柜</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绝缘电阻测试、电流回路及仪表检测</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487"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低压电容柜</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绝缘电阻测试、电容测试</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538"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高压电缆试验</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绝缘电阻测试</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r>
        <w:tblPrEx>
          <w:tblLayout w:type="fixed"/>
          <w:tblCellMar>
            <w:top w:w="15" w:type="dxa"/>
            <w:left w:w="15" w:type="dxa"/>
            <w:bottom w:w="15" w:type="dxa"/>
            <w:right w:w="15" w:type="dxa"/>
          </w:tblCellMar>
        </w:tblPrEx>
        <w:trPr>
          <w:trHeight w:val="501" w:hRule="atLeast"/>
        </w:trPr>
        <w:tc>
          <w:tcPr>
            <w:tcW w:w="149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高压避雷器</w:t>
            </w:r>
          </w:p>
        </w:tc>
        <w:tc>
          <w:tcPr>
            <w:tcW w:w="5520"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绝缘电阻测试</w:t>
            </w:r>
          </w:p>
        </w:tc>
        <w:tc>
          <w:tcPr>
            <w:tcW w:w="1323" w:type="dxa"/>
            <w:tcBorders>
              <w:top w:val="single" w:color="000000" w:sz="4" w:space="0"/>
              <w:left w:val="nil"/>
              <w:bottom w:val="single" w:color="000000" w:sz="4" w:space="0"/>
              <w:right w:val="single" w:color="000000" w:sz="4" w:space="0"/>
            </w:tcBorders>
            <w:vAlign w:val="center"/>
          </w:tcPr>
          <w:p>
            <w:pPr>
              <w:widowControl/>
              <w:shd w:val="clear"/>
              <w:jc w:val="left"/>
              <w:textAlignment w:val="top"/>
              <w:rPr>
                <w:rFonts w:hint="eastAsia" w:ascii="仿宋_GB2312" w:hAnsi="宋体" w:eastAsia="仿宋_GB2312"/>
                <w:b w:val="0"/>
                <w:bCs w:val="0"/>
                <w:color w:val="000000"/>
                <w:sz w:val="24"/>
                <w:szCs w:val="24"/>
              </w:rPr>
            </w:pPr>
            <w:r>
              <w:rPr>
                <w:rFonts w:hint="eastAsia" w:ascii="仿宋_GB2312" w:hAnsi="宋体" w:eastAsia="仿宋_GB2312"/>
                <w:b w:val="0"/>
                <w:bCs w:val="0"/>
                <w:color w:val="000000"/>
                <w:sz w:val="24"/>
                <w:szCs w:val="24"/>
              </w:rPr>
              <w:t>1年1次</w:t>
            </w:r>
          </w:p>
        </w:tc>
      </w:tr>
    </w:tbl>
    <w:p>
      <w:pPr>
        <w:shd w:val="clear"/>
        <w:jc w:val="left"/>
        <w:rPr>
          <w:rFonts w:hint="eastAsia" w:ascii="宋体" w:hAnsi="宋体"/>
          <w:sz w:val="32"/>
          <w:szCs w:val="32"/>
          <w:u w:val="none"/>
          <w:lang w:eastAsia="zh-CN"/>
        </w:rPr>
      </w:pPr>
    </w:p>
    <w:p>
      <w:pPr>
        <w:shd w:val="clear"/>
        <w:jc w:val="left"/>
        <w:rPr>
          <w:rFonts w:hint="eastAsia" w:ascii="宋体" w:hAnsi="宋体"/>
          <w:sz w:val="32"/>
          <w:szCs w:val="32"/>
          <w:u w:val="none"/>
          <w:lang w:val="en-US" w:eastAsia="zh-CN"/>
        </w:rPr>
      </w:pPr>
      <w:r>
        <w:rPr>
          <w:rFonts w:hint="eastAsia" w:ascii="宋体" w:hAnsi="宋体"/>
          <w:sz w:val="32"/>
          <w:szCs w:val="32"/>
          <w:u w:val="none"/>
          <w:lang w:eastAsia="zh-CN"/>
        </w:rPr>
        <w:t>附件</w:t>
      </w:r>
      <w:r>
        <w:rPr>
          <w:rFonts w:hint="eastAsia" w:ascii="宋体" w:hAnsi="宋体"/>
          <w:sz w:val="32"/>
          <w:szCs w:val="32"/>
          <w:u w:val="none"/>
          <w:lang w:val="en-US" w:eastAsia="zh-CN"/>
        </w:rPr>
        <w:t>3</w:t>
      </w:r>
    </w:p>
    <w:p>
      <w:pPr>
        <w:shd w:val="clear"/>
        <w:jc w:val="center"/>
        <w:rPr>
          <w:rFonts w:hint="eastAsia"/>
          <w:sz w:val="44"/>
          <w:szCs w:val="44"/>
          <w:u w:val="single"/>
          <w:lang w:val="en-US" w:eastAsia="zh-CN"/>
        </w:rPr>
      </w:pPr>
    </w:p>
    <w:p>
      <w:pPr>
        <w:shd w:val="clear"/>
        <w:jc w:val="center"/>
        <w:rPr>
          <w:rFonts w:hint="eastAsia"/>
          <w:sz w:val="44"/>
          <w:szCs w:val="44"/>
          <w:u w:val="single"/>
          <w:lang w:val="en-US" w:eastAsia="zh-CN"/>
        </w:rPr>
      </w:pPr>
    </w:p>
    <w:p>
      <w:pPr>
        <w:shd w:val="clear"/>
        <w:jc w:val="center"/>
        <w:rPr>
          <w:rFonts w:hint="eastAsia"/>
          <w:sz w:val="44"/>
          <w:szCs w:val="44"/>
          <w:lang w:val="en-US" w:eastAsia="zh-CN"/>
        </w:rPr>
      </w:pPr>
      <w:r>
        <w:rPr>
          <w:rFonts w:hint="eastAsia"/>
          <w:sz w:val="44"/>
          <w:szCs w:val="44"/>
          <w:u w:val="single"/>
          <w:lang w:val="en-US" w:eastAsia="zh-CN"/>
        </w:rPr>
        <w:t xml:space="preserve"> 配电设备运维服务采购项目</w:t>
      </w:r>
      <w:r>
        <w:rPr>
          <w:rFonts w:hint="eastAsia" w:ascii="宋体" w:hAnsi="宋体"/>
          <w:b w:val="0"/>
          <w:bCs w:val="0"/>
          <w:sz w:val="32"/>
          <w:szCs w:val="32"/>
          <w:u w:val="single"/>
          <w:lang w:val="en-US" w:eastAsia="zh-CN"/>
        </w:rPr>
        <w:t xml:space="preserve"> </w:t>
      </w:r>
      <w:r>
        <w:rPr>
          <w:rFonts w:hint="eastAsia" w:ascii="宋体" w:hAnsi="宋体"/>
          <w:b/>
          <w:bCs/>
          <w:sz w:val="44"/>
          <w:szCs w:val="44"/>
          <w:u w:val="none"/>
          <w:lang w:val="en-US" w:eastAsia="zh-CN"/>
        </w:rPr>
        <w:t>报名表</w:t>
      </w:r>
    </w:p>
    <w:p>
      <w:pPr>
        <w:shd w:val="clear"/>
        <w:jc w:val="center"/>
        <w:rPr>
          <w:rFonts w:hint="eastAsia"/>
          <w:sz w:val="44"/>
          <w:szCs w:val="44"/>
          <w:lang w:val="en-US" w:eastAsia="zh-CN"/>
        </w:rPr>
      </w:pPr>
    </w:p>
    <w:p>
      <w:pPr>
        <w:shd w:val="clear"/>
        <w:jc w:val="center"/>
        <w:rPr>
          <w:rFonts w:hint="eastAsia"/>
          <w:sz w:val="44"/>
          <w:szCs w:val="44"/>
          <w:lang w:val="en-US" w:eastAsia="zh-CN"/>
        </w:rPr>
      </w:pPr>
    </w:p>
    <w:p>
      <w:pPr>
        <w:pStyle w:val="2"/>
        <w:shd w:val="clear"/>
        <w:rPr>
          <w:rFonts w:hint="eastAsia"/>
          <w:sz w:val="44"/>
          <w:szCs w:val="44"/>
          <w:lang w:val="en-US" w:eastAsia="zh-CN"/>
        </w:rPr>
      </w:pPr>
    </w:p>
    <w:p>
      <w:pPr>
        <w:shd w:val="clear"/>
        <w:rPr>
          <w:rFonts w:hint="eastAsia"/>
          <w:lang w:val="en-US" w:eastAsia="zh-CN"/>
        </w:rPr>
      </w:pPr>
    </w:p>
    <w:p>
      <w:pPr>
        <w:shd w:val="clear"/>
        <w:ind w:firstLine="640" w:firstLineChars="200"/>
        <w:jc w:val="left"/>
        <w:rPr>
          <w:rFonts w:hint="eastAsia"/>
          <w:sz w:val="32"/>
          <w:szCs w:val="32"/>
          <w:lang w:val="en-US" w:eastAsia="zh-CN"/>
        </w:rPr>
      </w:pPr>
      <w:r>
        <w:rPr>
          <w:rFonts w:hint="eastAsia"/>
          <w:sz w:val="32"/>
          <w:szCs w:val="32"/>
          <w:lang w:val="en-US" w:eastAsia="zh-CN"/>
        </w:rPr>
        <w:t>报名单</w:t>
      </w:r>
      <w:r>
        <w:rPr>
          <w:rFonts w:hint="eastAsia"/>
          <w:sz w:val="32"/>
          <w:szCs w:val="32"/>
          <w:u w:val="none"/>
          <w:lang w:val="en-US" w:eastAsia="zh-CN"/>
        </w:rPr>
        <w:t>位（公章）</w:t>
      </w:r>
      <w:r>
        <w:rPr>
          <w:rFonts w:hint="eastAsia"/>
          <w:sz w:val="32"/>
          <w:szCs w:val="32"/>
          <w:lang w:val="en-US" w:eastAsia="zh-CN"/>
        </w:rPr>
        <w:t>：</w:t>
      </w:r>
      <w:r>
        <w:rPr>
          <w:rFonts w:hint="eastAsia"/>
          <w:sz w:val="32"/>
          <w:szCs w:val="32"/>
          <w:u w:val="single"/>
          <w:lang w:val="en-US" w:eastAsia="zh-CN"/>
        </w:rPr>
        <w:t xml:space="preserve">                   </w:t>
      </w:r>
      <w:r>
        <w:rPr>
          <w:rFonts w:hint="eastAsia"/>
          <w:sz w:val="32"/>
          <w:szCs w:val="32"/>
          <w:lang w:val="en-US" w:eastAsia="zh-CN"/>
        </w:rPr>
        <w:t xml:space="preserve"> </w:t>
      </w:r>
    </w:p>
    <w:p>
      <w:pPr>
        <w:shd w:val="clear"/>
        <w:ind w:firstLine="640" w:firstLineChars="200"/>
        <w:jc w:val="left"/>
        <w:rPr>
          <w:rFonts w:hint="eastAsia"/>
          <w:sz w:val="32"/>
          <w:szCs w:val="32"/>
          <w:lang w:val="en-US" w:eastAsia="zh-CN"/>
        </w:rPr>
      </w:pPr>
      <w:r>
        <w:rPr>
          <w:rFonts w:hint="eastAsia"/>
          <w:sz w:val="32"/>
          <w:szCs w:val="32"/>
          <w:lang w:val="en-US" w:eastAsia="zh-CN"/>
        </w:rPr>
        <w:t>联系人：</w:t>
      </w:r>
      <w:r>
        <w:rPr>
          <w:rFonts w:hint="eastAsia"/>
          <w:sz w:val="32"/>
          <w:szCs w:val="32"/>
          <w:u w:val="single"/>
          <w:lang w:val="en-US" w:eastAsia="zh-CN"/>
        </w:rPr>
        <w:t xml:space="preserve">                             </w:t>
      </w:r>
      <w:r>
        <w:rPr>
          <w:rFonts w:hint="eastAsia"/>
          <w:sz w:val="32"/>
          <w:szCs w:val="32"/>
          <w:lang w:val="en-US" w:eastAsia="zh-CN"/>
        </w:rPr>
        <w:t xml:space="preserve"> </w:t>
      </w:r>
    </w:p>
    <w:p>
      <w:pPr>
        <w:shd w:val="clear"/>
        <w:ind w:firstLine="640" w:firstLineChars="200"/>
        <w:jc w:val="left"/>
        <w:rPr>
          <w:rFonts w:hint="default"/>
          <w:sz w:val="32"/>
          <w:szCs w:val="32"/>
          <w:u w:val="single"/>
          <w:lang w:val="en-US" w:eastAsia="zh-CN"/>
        </w:rPr>
      </w:pPr>
      <w:r>
        <w:rPr>
          <w:rFonts w:hint="eastAsia"/>
          <w:sz w:val="32"/>
          <w:szCs w:val="32"/>
          <w:lang w:val="en-US" w:eastAsia="zh-CN"/>
        </w:rPr>
        <w:t>身份证号：</w:t>
      </w:r>
      <w:r>
        <w:rPr>
          <w:rFonts w:hint="eastAsia"/>
          <w:sz w:val="32"/>
          <w:szCs w:val="32"/>
          <w:u w:val="single"/>
          <w:lang w:val="en-US" w:eastAsia="zh-CN"/>
        </w:rPr>
        <w:t xml:space="preserve">                           </w:t>
      </w:r>
    </w:p>
    <w:p>
      <w:pPr>
        <w:shd w:val="clear"/>
        <w:ind w:firstLine="640" w:firstLineChars="200"/>
        <w:jc w:val="left"/>
        <w:rPr>
          <w:rFonts w:hint="default"/>
          <w:sz w:val="32"/>
          <w:szCs w:val="32"/>
          <w:u w:val="single"/>
          <w:lang w:val="en-US" w:eastAsia="zh-CN"/>
        </w:rPr>
      </w:pPr>
      <w:r>
        <w:rPr>
          <w:rFonts w:hint="eastAsia"/>
          <w:sz w:val="32"/>
          <w:szCs w:val="32"/>
          <w:lang w:val="en-US" w:eastAsia="zh-CN"/>
        </w:rPr>
        <w:t>联系电话：</w:t>
      </w:r>
      <w:r>
        <w:rPr>
          <w:rFonts w:hint="eastAsia"/>
          <w:sz w:val="32"/>
          <w:szCs w:val="32"/>
          <w:u w:val="single"/>
          <w:lang w:val="en-US" w:eastAsia="zh-CN"/>
        </w:rPr>
        <w:t xml:space="preserve">                           </w:t>
      </w:r>
    </w:p>
    <w:p>
      <w:pPr>
        <w:shd w:val="clear"/>
        <w:ind w:firstLine="640" w:firstLineChars="200"/>
        <w:jc w:val="left"/>
        <w:rPr>
          <w:rFonts w:hint="default"/>
          <w:sz w:val="32"/>
          <w:szCs w:val="32"/>
          <w:u w:val="single"/>
          <w:lang w:val="en-US" w:eastAsia="zh-CN"/>
        </w:rPr>
      </w:pPr>
      <w:r>
        <w:rPr>
          <w:rFonts w:hint="eastAsia"/>
          <w:sz w:val="32"/>
          <w:szCs w:val="32"/>
          <w:lang w:val="en-US" w:eastAsia="zh-CN"/>
        </w:rPr>
        <w:t>报名时间：</w:t>
      </w:r>
      <w:r>
        <w:rPr>
          <w:rFonts w:hint="eastAsia"/>
          <w:sz w:val="32"/>
          <w:szCs w:val="32"/>
          <w:u w:val="single"/>
          <w:lang w:val="en-US" w:eastAsia="zh-CN"/>
        </w:rPr>
        <w:t xml:space="preserve">                           </w:t>
      </w:r>
    </w:p>
    <w:p>
      <w:pPr>
        <w:pStyle w:val="2"/>
        <w:shd w:val="clear"/>
        <w:rPr>
          <w:rFonts w:hint="eastAsia"/>
          <w:lang w:val="en-US" w:eastAsia="zh-CN"/>
        </w:rPr>
      </w:pPr>
    </w:p>
    <w:p>
      <w:pPr>
        <w:shd w:val="clear"/>
        <w:rPr>
          <w:rFonts w:hint="eastAsia"/>
          <w:lang w:val="en-US" w:eastAsia="zh-CN"/>
        </w:rPr>
      </w:pPr>
    </w:p>
    <w:p>
      <w:pPr>
        <w:pStyle w:val="2"/>
        <w:shd w:val="clear"/>
        <w:rPr>
          <w:rFonts w:hint="eastAsia"/>
          <w:lang w:val="en-US" w:eastAsia="zh-CN"/>
        </w:rPr>
      </w:pPr>
    </w:p>
    <w:p>
      <w:pPr>
        <w:shd w:val="clear"/>
        <w:rPr>
          <w:rFonts w:hint="eastAsia"/>
          <w:lang w:val="en-US" w:eastAsia="zh-CN"/>
        </w:rPr>
      </w:pPr>
    </w:p>
    <w:p>
      <w:pPr>
        <w:shd w:val="clear"/>
        <w:rPr>
          <w:rFonts w:hint="default"/>
          <w:sz w:val="32"/>
          <w:szCs w:val="32"/>
          <w:lang w:val="en-US" w:eastAsia="zh-CN"/>
        </w:rPr>
      </w:pPr>
    </w:p>
    <w:p>
      <w:pPr>
        <w:shd w:val="clear"/>
        <w:jc w:val="both"/>
        <w:rPr>
          <w:rFonts w:hint="eastAsia" w:ascii="宋体" w:hAnsi="宋体"/>
          <w:sz w:val="32"/>
          <w:szCs w:val="32"/>
          <w:u w:val="none"/>
          <w:lang w:val="en-US" w:eastAsia="zh-CN"/>
        </w:rPr>
      </w:pPr>
    </w:p>
    <w:p>
      <w:pPr>
        <w:shd w:val="clear"/>
        <w:jc w:val="both"/>
        <w:rPr>
          <w:rFonts w:hint="eastAsia" w:ascii="宋体" w:hAnsi="宋体"/>
          <w:sz w:val="32"/>
          <w:szCs w:val="32"/>
          <w:u w:val="none"/>
          <w:lang w:val="en-US" w:eastAsia="zh-CN"/>
        </w:rPr>
      </w:pPr>
    </w:p>
    <w:p>
      <w:pPr>
        <w:shd w:val="clear"/>
        <w:jc w:val="both"/>
        <w:rPr>
          <w:rFonts w:hint="eastAsia" w:ascii="宋体" w:hAnsi="宋体" w:eastAsia="宋体"/>
          <w:b/>
          <w:bCs/>
          <w:sz w:val="32"/>
          <w:szCs w:val="32"/>
          <w:u w:val="none"/>
          <w:lang w:val="en-US" w:eastAsia="zh-CN"/>
        </w:rPr>
      </w:pPr>
      <w:r>
        <w:rPr>
          <w:rFonts w:hint="eastAsia" w:ascii="宋体" w:hAnsi="宋体"/>
          <w:sz w:val="32"/>
          <w:szCs w:val="32"/>
          <w:u w:val="none"/>
          <w:lang w:val="en-US" w:eastAsia="zh-CN"/>
        </w:rPr>
        <w:t>附件4</w:t>
      </w:r>
    </w:p>
    <w:p>
      <w:pPr>
        <w:pStyle w:val="2"/>
        <w:shd w:val="clear"/>
        <w:rPr>
          <w:rFonts w:hint="eastAsia"/>
          <w:lang w:val="en-US" w:eastAsia="zh-CN"/>
        </w:rPr>
      </w:pPr>
    </w:p>
    <w:p>
      <w:pPr>
        <w:shd w:val="clear"/>
        <w:ind w:left="2880" w:hanging="2891" w:hangingChars="900"/>
        <w:jc w:val="center"/>
        <w:rPr>
          <w:rFonts w:hint="eastAsia" w:ascii="宋体" w:hAnsi="宋体" w:eastAsia="宋体"/>
          <w:sz w:val="32"/>
          <w:szCs w:val="32"/>
          <w:u w:val="none"/>
          <w:lang w:val="en-US" w:eastAsia="zh-CN"/>
        </w:rPr>
      </w:pPr>
      <w:r>
        <w:rPr>
          <w:rFonts w:hint="eastAsia" w:ascii="宋体" w:hAnsi="宋体"/>
          <w:b/>
          <w:bCs/>
          <w:sz w:val="32"/>
          <w:szCs w:val="32"/>
          <w:u w:val="single"/>
          <w:lang w:val="en-US" w:eastAsia="zh-CN"/>
        </w:rPr>
        <w:t>配电设备运维服务采购项目</w:t>
      </w:r>
      <w:r>
        <w:rPr>
          <w:rFonts w:hint="eastAsia" w:ascii="宋体" w:hAnsi="宋体"/>
          <w:b/>
          <w:bCs/>
          <w:sz w:val="32"/>
          <w:szCs w:val="32"/>
          <w:u w:val="none"/>
          <w:lang w:eastAsia="zh-CN"/>
        </w:rPr>
        <w:t>报价单</w:t>
      </w:r>
    </w:p>
    <w:tbl>
      <w:tblPr>
        <w:tblStyle w:val="12"/>
        <w:tblW w:w="99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3887"/>
        <w:gridCol w:w="1395"/>
        <w:gridCol w:w="795"/>
        <w:gridCol w:w="810"/>
        <w:gridCol w:w="2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91" w:type="dxa"/>
            <w:vAlign w:val="center"/>
          </w:tcPr>
          <w:p>
            <w:pPr>
              <w:shd w:val="clear"/>
              <w:spacing w:line="276" w:lineRule="auto"/>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序号</w:t>
            </w:r>
          </w:p>
        </w:tc>
        <w:tc>
          <w:tcPr>
            <w:tcW w:w="3887" w:type="dxa"/>
            <w:vAlign w:val="center"/>
          </w:tcPr>
          <w:p>
            <w:pPr>
              <w:shd w:val="clear"/>
              <w:spacing w:line="276"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项目</w:t>
            </w:r>
            <w:r>
              <w:rPr>
                <w:rFonts w:hint="eastAsia" w:ascii="仿宋_GB2312" w:hAnsi="仿宋_GB2312" w:eastAsia="仿宋_GB2312" w:cs="仿宋_GB2312"/>
                <w:b/>
                <w:bCs/>
                <w:sz w:val="28"/>
                <w:szCs w:val="28"/>
              </w:rPr>
              <w:t>名称</w:t>
            </w:r>
          </w:p>
        </w:tc>
        <w:tc>
          <w:tcPr>
            <w:tcW w:w="1395" w:type="dxa"/>
            <w:vAlign w:val="center"/>
          </w:tcPr>
          <w:p>
            <w:pPr>
              <w:shd w:val="clear"/>
              <w:spacing w:line="276" w:lineRule="auto"/>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技术参数要求</w:t>
            </w:r>
          </w:p>
        </w:tc>
        <w:tc>
          <w:tcPr>
            <w:tcW w:w="795" w:type="dxa"/>
            <w:vAlign w:val="center"/>
          </w:tcPr>
          <w:p>
            <w:pPr>
              <w:shd w:val="clear"/>
              <w:spacing w:line="276"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单位</w:t>
            </w:r>
          </w:p>
        </w:tc>
        <w:tc>
          <w:tcPr>
            <w:tcW w:w="810" w:type="dxa"/>
            <w:vAlign w:val="center"/>
          </w:tcPr>
          <w:p>
            <w:pPr>
              <w:shd w:val="clear"/>
              <w:spacing w:line="276" w:lineRule="auto"/>
              <w:jc w:val="cente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数量</w:t>
            </w:r>
          </w:p>
        </w:tc>
        <w:tc>
          <w:tcPr>
            <w:tcW w:w="2122" w:type="dxa"/>
            <w:vAlign w:val="center"/>
          </w:tcPr>
          <w:p>
            <w:pPr>
              <w:shd w:val="clear"/>
              <w:spacing w:line="276" w:lineRule="auto"/>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 w:hRule="atLeast"/>
          <w:jc w:val="center"/>
        </w:trPr>
        <w:tc>
          <w:tcPr>
            <w:tcW w:w="891" w:type="dxa"/>
            <w:vAlign w:val="center"/>
          </w:tcPr>
          <w:p>
            <w:pPr>
              <w:shd w:val="clear"/>
              <w:spacing w:line="276"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3887" w:type="dxa"/>
            <w:vAlign w:val="center"/>
          </w:tcPr>
          <w:p>
            <w:pPr>
              <w:shd w:val="clear"/>
              <w:spacing w:line="276" w:lineRule="auto"/>
              <w:jc w:val="both"/>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配电设备运维服务采购项目</w:t>
            </w:r>
          </w:p>
        </w:tc>
        <w:tc>
          <w:tcPr>
            <w:tcW w:w="1395" w:type="dxa"/>
            <w:vAlign w:val="center"/>
          </w:tcPr>
          <w:p>
            <w:pPr>
              <w:shd w:val="clear"/>
              <w:spacing w:line="276"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附件2</w:t>
            </w:r>
          </w:p>
        </w:tc>
        <w:tc>
          <w:tcPr>
            <w:tcW w:w="795" w:type="dxa"/>
            <w:vAlign w:val="center"/>
          </w:tcPr>
          <w:p>
            <w:pPr>
              <w:shd w:val="clear"/>
              <w:spacing w:line="276" w:lineRule="auto"/>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年</w:t>
            </w:r>
          </w:p>
        </w:tc>
        <w:tc>
          <w:tcPr>
            <w:tcW w:w="810" w:type="dxa"/>
            <w:vAlign w:val="center"/>
          </w:tcPr>
          <w:p>
            <w:pPr>
              <w:shd w:val="clear"/>
              <w:spacing w:line="276" w:lineRule="auto"/>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p>
        </w:tc>
        <w:tc>
          <w:tcPr>
            <w:tcW w:w="2122" w:type="dxa"/>
            <w:vAlign w:val="center"/>
          </w:tcPr>
          <w:p>
            <w:pPr>
              <w:shd w:val="clear"/>
              <w:spacing w:line="276" w:lineRule="auto"/>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778" w:type="dxa"/>
            <w:gridSpan w:val="2"/>
            <w:vAlign w:val="center"/>
          </w:tcPr>
          <w:p>
            <w:pPr>
              <w:shd w:val="clear"/>
              <w:spacing w:line="276" w:lineRule="auto"/>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合计</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含税</w:t>
            </w:r>
            <w:r>
              <w:rPr>
                <w:rFonts w:hint="eastAsia" w:ascii="仿宋_GB2312" w:hAnsi="仿宋_GB2312" w:eastAsia="仿宋_GB2312" w:cs="仿宋_GB2312"/>
                <w:sz w:val="28"/>
                <w:szCs w:val="28"/>
                <w:lang w:eastAsia="zh-CN"/>
              </w:rPr>
              <w:t>）</w:t>
            </w:r>
          </w:p>
        </w:tc>
        <w:tc>
          <w:tcPr>
            <w:tcW w:w="1395" w:type="dxa"/>
            <w:vAlign w:val="center"/>
          </w:tcPr>
          <w:p>
            <w:pPr>
              <w:shd w:val="clear"/>
              <w:spacing w:line="276" w:lineRule="auto"/>
              <w:jc w:val="center"/>
              <w:rPr>
                <w:rFonts w:hint="eastAsia" w:ascii="仿宋_GB2312" w:hAnsi="仿宋_GB2312" w:eastAsia="仿宋_GB2312" w:cs="仿宋_GB2312"/>
                <w:sz w:val="28"/>
                <w:szCs w:val="28"/>
              </w:rPr>
            </w:pPr>
          </w:p>
        </w:tc>
        <w:tc>
          <w:tcPr>
            <w:tcW w:w="795" w:type="dxa"/>
            <w:vAlign w:val="center"/>
          </w:tcPr>
          <w:p>
            <w:pPr>
              <w:shd w:val="clear"/>
              <w:spacing w:line="276" w:lineRule="auto"/>
              <w:jc w:val="center"/>
              <w:rPr>
                <w:rFonts w:hint="eastAsia" w:ascii="仿宋_GB2312" w:hAnsi="仿宋_GB2312" w:eastAsia="仿宋_GB2312" w:cs="仿宋_GB2312"/>
                <w:sz w:val="28"/>
                <w:szCs w:val="28"/>
              </w:rPr>
            </w:pPr>
          </w:p>
        </w:tc>
        <w:tc>
          <w:tcPr>
            <w:tcW w:w="810" w:type="dxa"/>
            <w:vAlign w:val="center"/>
          </w:tcPr>
          <w:p>
            <w:pPr>
              <w:shd w:val="clear"/>
              <w:spacing w:line="276" w:lineRule="auto"/>
              <w:jc w:val="center"/>
              <w:rPr>
                <w:rFonts w:hint="eastAsia" w:ascii="仿宋_GB2312" w:hAnsi="仿宋_GB2312" w:eastAsia="仿宋_GB2312" w:cs="仿宋_GB2312"/>
                <w:sz w:val="28"/>
                <w:szCs w:val="28"/>
              </w:rPr>
            </w:pPr>
          </w:p>
        </w:tc>
        <w:tc>
          <w:tcPr>
            <w:tcW w:w="2122" w:type="dxa"/>
            <w:vAlign w:val="center"/>
          </w:tcPr>
          <w:p>
            <w:pPr>
              <w:shd w:val="clear"/>
              <w:spacing w:line="276" w:lineRule="auto"/>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 w:hRule="atLeast"/>
          <w:jc w:val="center"/>
        </w:trPr>
        <w:tc>
          <w:tcPr>
            <w:tcW w:w="9900" w:type="dxa"/>
            <w:gridSpan w:val="6"/>
            <w:vAlign w:val="center"/>
          </w:tcPr>
          <w:p>
            <w:pPr>
              <w:numPr>
                <w:ilvl w:val="0"/>
                <w:numId w:val="0"/>
              </w:numPr>
              <w:shd w:val="clear"/>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报价单位</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single"/>
                <w:lang w:val="en-US" w:eastAsia="zh-CN"/>
              </w:rPr>
              <w:t>公</w:t>
            </w:r>
            <w:r>
              <w:rPr>
                <w:rFonts w:hint="eastAsia" w:ascii="仿宋_GB2312" w:hAnsi="仿宋_GB2312" w:eastAsia="仿宋_GB2312" w:cs="仿宋_GB2312"/>
                <w:sz w:val="28"/>
                <w:szCs w:val="28"/>
                <w:u w:val="single"/>
                <w:lang w:eastAsia="zh-CN"/>
              </w:rPr>
              <w:t xml:space="preserve">章）：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eastAsia="zh-CN"/>
              </w:rPr>
              <w:t>；法人或</w:t>
            </w:r>
            <w:r>
              <w:rPr>
                <w:rFonts w:hint="eastAsia" w:ascii="仿宋_GB2312" w:hAnsi="仿宋_GB2312" w:eastAsia="仿宋_GB2312" w:cs="仿宋_GB2312"/>
                <w:sz w:val="28"/>
                <w:szCs w:val="28"/>
                <w:lang w:val="en-US" w:eastAsia="zh-CN"/>
              </w:rPr>
              <w:t>委托代理人：</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p>
          <w:p>
            <w:pPr>
              <w:numPr>
                <w:ilvl w:val="0"/>
                <w:numId w:val="0"/>
              </w:numPr>
              <w:shd w:val="clear"/>
              <w:jc w:val="left"/>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 xml:space="preserve">联系人：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none"/>
                <w:lang w:eastAsia="zh-CN"/>
              </w:rPr>
              <w:t xml:space="preserve"> ；</w:t>
            </w:r>
            <w:r>
              <w:rPr>
                <w:rFonts w:hint="eastAsia" w:ascii="仿宋_GB2312" w:hAnsi="仿宋_GB2312" w:eastAsia="仿宋_GB2312" w:cs="仿宋_GB2312"/>
                <w:sz w:val="28"/>
                <w:szCs w:val="28"/>
                <w:lang w:eastAsia="zh-CN"/>
              </w:rPr>
              <w:t>电话：</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none"/>
                <w:lang w:eastAsia="zh-CN"/>
              </w:rPr>
              <w:t>；</w:t>
            </w:r>
            <w:r>
              <w:rPr>
                <w:rFonts w:hint="eastAsia" w:ascii="仿宋_GB2312" w:hAnsi="仿宋_GB2312" w:eastAsia="仿宋_GB2312" w:cs="仿宋_GB2312"/>
                <w:sz w:val="28"/>
                <w:szCs w:val="28"/>
                <w:lang w:eastAsia="zh-CN"/>
              </w:rPr>
              <w:t>地址：</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eastAsia="zh-CN"/>
              </w:rPr>
              <w:t xml:space="preserve">          </w:t>
            </w:r>
          </w:p>
          <w:p>
            <w:pPr>
              <w:numPr>
                <w:ilvl w:val="0"/>
                <w:numId w:val="0"/>
              </w:numPr>
              <w:shd w:val="clea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报价有效期</w:t>
            </w:r>
            <w:r>
              <w:rPr>
                <w:rFonts w:hint="eastAsia" w:ascii="仿宋_GB2312" w:hAnsi="仿宋_GB2312" w:eastAsia="仿宋_GB2312" w:cs="仿宋_GB2312"/>
                <w:sz w:val="28"/>
                <w:szCs w:val="28"/>
                <w:u w:val="single"/>
                <w:lang w:val="en-US" w:eastAsia="zh-CN"/>
              </w:rPr>
              <w:t>60</w:t>
            </w:r>
            <w:r>
              <w:rPr>
                <w:rFonts w:hint="eastAsia" w:ascii="仿宋_GB2312" w:hAnsi="仿宋_GB2312" w:eastAsia="仿宋_GB2312" w:cs="仿宋_GB2312"/>
                <w:sz w:val="28"/>
                <w:szCs w:val="28"/>
                <w:lang w:val="en-US" w:eastAsia="zh-CN"/>
              </w:rPr>
              <w:t>天                         报价日期：</w:t>
            </w:r>
            <w:r>
              <w:rPr>
                <w:rFonts w:hint="eastAsia" w:ascii="仿宋_GB2312" w:hAnsi="仿宋_GB2312" w:eastAsia="仿宋_GB2312" w:cs="仿宋_GB2312"/>
                <w:sz w:val="28"/>
                <w:szCs w:val="28"/>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9900" w:type="dxa"/>
            <w:gridSpan w:val="6"/>
            <w:vAlign w:val="center"/>
          </w:tcPr>
          <w:p>
            <w:pPr>
              <w:shd w:val="clear"/>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其他说明：</w:t>
            </w:r>
          </w:p>
          <w:p>
            <w:pPr>
              <w:numPr>
                <w:ilvl w:val="0"/>
                <w:numId w:val="0"/>
              </w:numPr>
              <w:shd w:val="clea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1.本项目按照附件2内容采用总价报价，无需再提交清单。</w:t>
            </w:r>
          </w:p>
          <w:p>
            <w:pPr>
              <w:numPr>
                <w:ilvl w:val="0"/>
                <w:numId w:val="0"/>
              </w:numPr>
              <w:shd w:val="clear"/>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本项目不接受联合体报价。报价单涂改无效。</w:t>
            </w:r>
          </w:p>
          <w:p>
            <w:pPr>
              <w:numPr>
                <w:ilvl w:val="0"/>
                <w:numId w:val="0"/>
              </w:numPr>
              <w:shd w:val="clea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3.参与报价视为完全了解本项目采购需求并完全响应（或优于）项目相关内容。</w:t>
            </w:r>
          </w:p>
          <w:p>
            <w:pPr>
              <w:numPr>
                <w:ilvl w:val="0"/>
                <w:numId w:val="0"/>
              </w:numPr>
              <w:shd w:val="clea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4.参与报价并成为中标（成交）人后放弃中标资格的，将列入我校投标供应商黑名单并报财政厅。</w:t>
            </w:r>
          </w:p>
        </w:tc>
      </w:tr>
    </w:tbl>
    <w:p>
      <w:pPr>
        <w:shd w:val="clear"/>
        <w:jc w:val="center"/>
        <w:rPr>
          <w:rFonts w:hint="eastAsia" w:ascii="宋体" w:hAnsi="宋体" w:eastAsia="宋体" w:cs="宋体"/>
          <w:b/>
          <w:bCs/>
          <w:color w:val="000000"/>
          <w:sz w:val="32"/>
          <w:szCs w:val="32"/>
        </w:rPr>
      </w:pPr>
    </w:p>
    <w:p>
      <w:pPr>
        <w:shd w:val="clear"/>
        <w:jc w:val="center"/>
        <w:rPr>
          <w:rFonts w:hint="eastAsia" w:ascii="宋体" w:hAnsi="宋体" w:eastAsia="宋体" w:cs="宋体"/>
          <w:b/>
          <w:bCs/>
          <w:color w:val="000000"/>
          <w:sz w:val="32"/>
          <w:szCs w:val="32"/>
        </w:rPr>
      </w:pPr>
    </w:p>
    <w:p>
      <w:pPr>
        <w:shd w:val="clear"/>
        <w:jc w:val="center"/>
        <w:rPr>
          <w:rFonts w:hint="eastAsia" w:ascii="宋体" w:hAnsi="宋体" w:eastAsia="宋体" w:cs="宋体"/>
          <w:b/>
          <w:bCs/>
          <w:color w:val="000000"/>
          <w:sz w:val="32"/>
          <w:szCs w:val="32"/>
        </w:rPr>
      </w:pPr>
    </w:p>
    <w:p>
      <w:pPr>
        <w:shd w:val="clear"/>
        <w:jc w:val="center"/>
        <w:rPr>
          <w:rFonts w:hint="eastAsia" w:ascii="宋体" w:hAnsi="宋体" w:eastAsia="宋体" w:cs="宋体"/>
          <w:b/>
          <w:bCs/>
          <w:color w:val="000000"/>
          <w:sz w:val="32"/>
          <w:szCs w:val="32"/>
        </w:rPr>
      </w:pPr>
    </w:p>
    <w:p>
      <w:pPr>
        <w:shd w:val="clear"/>
        <w:jc w:val="center"/>
        <w:rPr>
          <w:rFonts w:hint="eastAsia" w:ascii="宋体" w:hAnsi="宋体" w:eastAsia="宋体" w:cs="宋体"/>
          <w:b/>
          <w:bCs/>
          <w:color w:val="000000"/>
          <w:sz w:val="32"/>
          <w:szCs w:val="32"/>
        </w:rPr>
      </w:pPr>
    </w:p>
    <w:p>
      <w:pPr>
        <w:shd w:val="clear"/>
        <w:jc w:val="both"/>
        <w:rPr>
          <w:rFonts w:hint="eastAsia" w:ascii="宋体" w:hAnsi="宋体" w:eastAsia="宋体"/>
          <w:b/>
          <w:bCs/>
          <w:sz w:val="32"/>
          <w:szCs w:val="32"/>
          <w:u w:val="none"/>
          <w:lang w:val="en-US" w:eastAsia="zh-CN"/>
        </w:rPr>
      </w:pPr>
      <w:r>
        <w:rPr>
          <w:rFonts w:hint="eastAsia" w:ascii="宋体" w:hAnsi="宋体"/>
          <w:sz w:val="32"/>
          <w:szCs w:val="32"/>
          <w:u w:val="none"/>
          <w:lang w:val="en-US" w:eastAsia="zh-CN"/>
        </w:rPr>
        <w:t>附件5</w:t>
      </w:r>
    </w:p>
    <w:p>
      <w:pPr>
        <w:shd w:val="clear"/>
        <w:jc w:val="center"/>
        <w:rPr>
          <w:rFonts w:hint="eastAsia" w:ascii="宋体" w:hAnsi="宋体" w:eastAsia="宋体" w:cs="宋体"/>
          <w:b/>
          <w:bCs/>
          <w:color w:val="000000"/>
          <w:sz w:val="32"/>
          <w:szCs w:val="32"/>
        </w:rPr>
      </w:pPr>
    </w:p>
    <w:p>
      <w:pPr>
        <w:keepNext w:val="0"/>
        <w:keepLines w:val="0"/>
        <w:pageBreakBefore w:val="0"/>
        <w:widowControl w:val="0"/>
        <w:shd w:val="clear"/>
        <w:kinsoku/>
        <w:wordWrap/>
        <w:overflowPunct/>
        <w:topLinePunct w:val="0"/>
        <w:autoSpaceDE/>
        <w:autoSpaceDN/>
        <w:bidi w:val="0"/>
        <w:adjustRightInd/>
        <w:snapToGrid/>
        <w:spacing w:line="400" w:lineRule="exact"/>
        <w:jc w:val="center"/>
        <w:textAlignment w:val="auto"/>
        <w:outlineLvl w:val="9"/>
        <w:rPr>
          <w:rFonts w:ascii="宋体" w:hAnsi="宋体" w:eastAsia="宋体" w:cs="宋体"/>
          <w:b/>
          <w:bCs/>
          <w:color w:val="000000"/>
          <w:sz w:val="32"/>
          <w:szCs w:val="32"/>
        </w:rPr>
      </w:pPr>
      <w:r>
        <w:rPr>
          <w:rFonts w:hint="eastAsia" w:ascii="宋体" w:hAnsi="宋体" w:eastAsia="宋体" w:cs="宋体"/>
          <w:b/>
          <w:bCs/>
          <w:color w:val="000000"/>
          <w:sz w:val="32"/>
          <w:szCs w:val="32"/>
        </w:rPr>
        <w:t>法定代表人授权书</w:t>
      </w:r>
    </w:p>
    <w:p>
      <w:pPr>
        <w:pStyle w:val="5"/>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lang w:val="en-US" w:eastAsia="zh-CN"/>
        </w:rPr>
        <w:t>广西警察学院</w:t>
      </w:r>
      <w:r>
        <w:rPr>
          <w:rFonts w:hint="eastAsia" w:ascii="宋体" w:hAnsi="宋体" w:cs="宋体"/>
          <w:color w:val="000000"/>
          <w:sz w:val="28"/>
          <w:szCs w:val="28"/>
        </w:rPr>
        <w:t>：</w:t>
      </w:r>
    </w:p>
    <w:p>
      <w:pPr>
        <w:pStyle w:val="5"/>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bCs/>
          <w:color w:val="000000"/>
          <w:sz w:val="28"/>
          <w:szCs w:val="28"/>
          <w:u w:val="single"/>
        </w:rPr>
      </w:pPr>
      <w:r>
        <w:rPr>
          <w:rFonts w:hint="eastAsia" w:ascii="宋体" w:hAnsi="宋体" w:cs="宋体"/>
          <w:color w:val="000000"/>
          <w:sz w:val="28"/>
          <w:szCs w:val="28"/>
        </w:rPr>
        <w:t>兹授权</w:t>
      </w:r>
      <w:r>
        <w:rPr>
          <w:rFonts w:ascii="宋体" w:hAnsi="宋体" w:cs="宋体"/>
          <w:color w:val="000000"/>
          <w:sz w:val="28"/>
          <w:szCs w:val="28"/>
          <w:u w:val="single"/>
        </w:rPr>
        <w:t xml:space="preserve">  </w:t>
      </w:r>
      <w:r>
        <w:rPr>
          <w:rFonts w:hint="eastAsia" w:ascii="宋体" w:hAnsi="宋体" w:cs="宋体"/>
          <w:color w:val="000000"/>
          <w:sz w:val="28"/>
          <w:szCs w:val="28"/>
          <w:u w:val="single"/>
          <w:lang w:val="en-US" w:eastAsia="zh-CN"/>
        </w:rPr>
        <w:t xml:space="preserve">  </w:t>
      </w:r>
      <w:r>
        <w:rPr>
          <w:rFonts w:ascii="宋体" w:hAnsi="宋体" w:cs="宋体"/>
          <w:color w:val="000000"/>
          <w:sz w:val="28"/>
          <w:szCs w:val="28"/>
          <w:u w:val="single"/>
        </w:rPr>
        <w:t xml:space="preserve">    </w:t>
      </w:r>
      <w:r>
        <w:rPr>
          <w:rFonts w:hint="eastAsia" w:ascii="宋体" w:hAnsi="宋体" w:cs="宋体"/>
          <w:color w:val="000000"/>
          <w:sz w:val="28"/>
          <w:szCs w:val="28"/>
        </w:rPr>
        <w:t>同志为我公司参加贵单位组织的</w:t>
      </w:r>
      <w:r>
        <w:rPr>
          <w:rFonts w:ascii="宋体" w:hAnsi="宋体" w:cs="宋体"/>
          <w:bCs/>
          <w:color w:val="000000"/>
          <w:sz w:val="28"/>
          <w:szCs w:val="28"/>
          <w:u w:val="single"/>
        </w:rPr>
        <w:t xml:space="preserve"> </w:t>
      </w:r>
      <w:r>
        <w:rPr>
          <w:rFonts w:hint="eastAsia" w:ascii="宋体" w:hAnsi="宋体" w:cs="宋体"/>
          <w:bCs/>
          <w:color w:val="000000"/>
          <w:sz w:val="28"/>
          <w:szCs w:val="28"/>
          <w:u w:val="single"/>
          <w:lang w:val="en-US" w:eastAsia="zh-CN"/>
        </w:rPr>
        <w:t xml:space="preserve">  </w:t>
      </w:r>
      <w:r>
        <w:rPr>
          <w:rFonts w:hint="eastAsia" w:ascii="宋体" w:hAnsi="宋体" w:cs="宋体"/>
          <w:bCs/>
          <w:color w:val="000000"/>
          <w:sz w:val="28"/>
          <w:szCs w:val="28"/>
          <w:u w:val="single"/>
          <w:lang w:eastAsia="zh-CN"/>
        </w:rPr>
        <w:t>（</w:t>
      </w:r>
      <w:r>
        <w:rPr>
          <w:rFonts w:hint="eastAsia" w:ascii="宋体" w:hAnsi="宋体" w:cs="宋体"/>
          <w:bCs/>
          <w:color w:val="000000"/>
          <w:sz w:val="28"/>
          <w:szCs w:val="28"/>
          <w:u w:val="single"/>
          <w:lang w:val="en-US" w:eastAsia="zh-CN"/>
        </w:rPr>
        <w:t>项目名称</w:t>
      </w:r>
      <w:r>
        <w:rPr>
          <w:rFonts w:hint="eastAsia" w:ascii="宋体" w:hAnsi="宋体" w:cs="宋体"/>
          <w:bCs/>
          <w:color w:val="000000"/>
          <w:sz w:val="28"/>
          <w:szCs w:val="28"/>
          <w:u w:val="single"/>
          <w:lang w:eastAsia="zh-CN"/>
        </w:rPr>
        <w:t>）</w:t>
      </w:r>
      <w:r>
        <w:rPr>
          <w:rFonts w:ascii="宋体" w:hAnsi="宋体" w:cs="宋体"/>
          <w:bCs/>
          <w:color w:val="000000"/>
          <w:sz w:val="28"/>
          <w:szCs w:val="28"/>
          <w:u w:val="single"/>
        </w:rPr>
        <w:t xml:space="preserve"> </w:t>
      </w:r>
      <w:r>
        <w:rPr>
          <w:rFonts w:hint="eastAsia" w:ascii="宋体" w:hAnsi="宋体" w:cs="宋体"/>
          <w:color w:val="000000"/>
          <w:sz w:val="28"/>
          <w:szCs w:val="28"/>
        </w:rPr>
        <w:t>的投标/报价代表人，全权代表我公司处理在该项目投标/报价活动中的一切事宜。</w:t>
      </w:r>
    </w:p>
    <w:p>
      <w:pPr>
        <w:pStyle w:val="5"/>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p>
    <w:p>
      <w:pPr>
        <w:pStyle w:val="5"/>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授权单位（盖章）：</w:t>
      </w:r>
      <w:r>
        <w:rPr>
          <w:rFonts w:ascii="宋体" w:hAnsi="宋体" w:cs="宋体"/>
          <w:color w:val="000000"/>
          <w:sz w:val="28"/>
          <w:szCs w:val="28"/>
          <w:u w:val="single"/>
        </w:rPr>
        <w:t xml:space="preserve">                         </w:t>
      </w:r>
    </w:p>
    <w:p>
      <w:pPr>
        <w:pStyle w:val="5"/>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法定代表人（签字或签章）：</w:t>
      </w:r>
      <w:r>
        <w:rPr>
          <w:rFonts w:ascii="宋体" w:hAnsi="宋体" w:cs="宋体"/>
          <w:color w:val="000000"/>
          <w:sz w:val="28"/>
          <w:szCs w:val="28"/>
          <w:u w:val="single"/>
        </w:rPr>
        <w:t xml:space="preserve">                 </w:t>
      </w:r>
    </w:p>
    <w:p>
      <w:pPr>
        <w:pStyle w:val="5"/>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签发日期：</w:t>
      </w:r>
      <w:r>
        <w:rPr>
          <w:rFonts w:ascii="宋体" w:hAnsi="宋体" w:cs="宋体"/>
          <w:color w:val="000000"/>
          <w:sz w:val="28"/>
          <w:szCs w:val="28"/>
          <w:u w:val="single"/>
        </w:rPr>
        <w:t xml:space="preserve">      </w:t>
      </w:r>
      <w:r>
        <w:rPr>
          <w:rFonts w:hint="eastAsia" w:ascii="宋体" w:hAnsi="宋体" w:cs="宋体"/>
          <w:color w:val="000000"/>
          <w:sz w:val="28"/>
          <w:szCs w:val="28"/>
        </w:rPr>
        <w:t>年</w:t>
      </w:r>
      <w:r>
        <w:rPr>
          <w:rFonts w:ascii="宋体" w:hAnsi="宋体" w:cs="宋体"/>
          <w:color w:val="000000"/>
          <w:sz w:val="28"/>
          <w:szCs w:val="28"/>
          <w:u w:val="single"/>
        </w:rPr>
        <w:t xml:space="preserve">    </w:t>
      </w:r>
      <w:r>
        <w:rPr>
          <w:rFonts w:hint="eastAsia" w:ascii="宋体" w:hAnsi="宋体" w:cs="宋体"/>
          <w:color w:val="000000"/>
          <w:sz w:val="28"/>
          <w:szCs w:val="28"/>
        </w:rPr>
        <w:t>月</w:t>
      </w:r>
      <w:r>
        <w:rPr>
          <w:rFonts w:ascii="宋体" w:hAnsi="宋体" w:cs="宋体"/>
          <w:color w:val="000000"/>
          <w:sz w:val="28"/>
          <w:szCs w:val="28"/>
          <w:u w:val="single"/>
        </w:rPr>
        <w:t xml:space="preserve">    </w:t>
      </w:r>
      <w:r>
        <w:rPr>
          <w:rFonts w:hint="eastAsia" w:ascii="宋体" w:hAnsi="宋体" w:cs="宋体"/>
          <w:color w:val="000000"/>
          <w:sz w:val="28"/>
          <w:szCs w:val="28"/>
        </w:rPr>
        <w:t>日</w:t>
      </w:r>
    </w:p>
    <w:p>
      <w:pPr>
        <w:pStyle w:val="5"/>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p>
    <w:p>
      <w:pPr>
        <w:pStyle w:val="5"/>
        <w:keepNext w:val="0"/>
        <w:keepLines w:val="0"/>
        <w:pageBreakBefore w:val="0"/>
        <w:widowControl w:val="0"/>
        <w:shd w:val="clear"/>
        <w:kinsoku/>
        <w:wordWrap/>
        <w:overflowPunct/>
        <w:topLinePunct w:val="0"/>
        <w:autoSpaceDE/>
        <w:autoSpaceDN/>
        <w:bidi w:val="0"/>
        <w:adjustRightInd/>
        <w:snapToGrid/>
        <w:spacing w:line="400" w:lineRule="exact"/>
        <w:textAlignment w:val="auto"/>
        <w:outlineLvl w:val="9"/>
        <w:rPr>
          <w:rFonts w:ascii="宋体" w:hAnsi="宋体" w:cs="宋体"/>
          <w:color w:val="000000"/>
          <w:sz w:val="28"/>
          <w:szCs w:val="28"/>
        </w:rPr>
      </w:pPr>
      <w:r>
        <w:rPr>
          <w:rFonts w:hint="eastAsia" w:ascii="宋体" w:hAnsi="宋体" w:cs="宋体"/>
          <w:color w:val="000000"/>
          <w:sz w:val="28"/>
          <w:szCs w:val="28"/>
        </w:rPr>
        <w:t>附：被授权人工作单位：</w:t>
      </w:r>
      <w:r>
        <w:rPr>
          <w:rFonts w:ascii="宋体" w:hAnsi="宋体" w:cs="宋体"/>
          <w:color w:val="000000"/>
          <w:sz w:val="28"/>
          <w:szCs w:val="28"/>
          <w:u w:val="single"/>
        </w:rPr>
        <w:t xml:space="preserve">                    </w:t>
      </w:r>
    </w:p>
    <w:p>
      <w:pPr>
        <w:pStyle w:val="5"/>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color w:val="000000"/>
          <w:sz w:val="28"/>
          <w:szCs w:val="28"/>
        </w:rPr>
      </w:pPr>
      <w:r>
        <w:rPr>
          <w:rFonts w:hint="eastAsia" w:ascii="宋体" w:hAnsi="宋体" w:cs="宋体"/>
          <w:color w:val="000000"/>
          <w:sz w:val="28"/>
          <w:szCs w:val="28"/>
        </w:rPr>
        <w:t>职务：</w:t>
      </w:r>
      <w:r>
        <w:rPr>
          <w:rFonts w:ascii="宋体" w:hAnsi="宋体" w:cs="宋体"/>
          <w:color w:val="000000"/>
          <w:sz w:val="28"/>
          <w:szCs w:val="28"/>
          <w:u w:val="single"/>
        </w:rPr>
        <w:t xml:space="preserve">                 </w:t>
      </w:r>
      <w:r>
        <w:rPr>
          <w:rFonts w:ascii="宋体" w:hAnsi="宋体" w:cs="宋体"/>
          <w:color w:val="000000"/>
          <w:sz w:val="28"/>
          <w:szCs w:val="28"/>
        </w:rPr>
        <w:t xml:space="preserve">         性别：</w:t>
      </w:r>
      <w:r>
        <w:rPr>
          <w:rFonts w:ascii="宋体" w:hAnsi="宋体" w:cs="宋体"/>
          <w:color w:val="000000"/>
          <w:sz w:val="28"/>
          <w:szCs w:val="28"/>
          <w:u w:val="single"/>
        </w:rPr>
        <w:t xml:space="preserve">    </w:t>
      </w:r>
    </w:p>
    <w:p>
      <w:pPr>
        <w:pStyle w:val="5"/>
        <w:keepNext w:val="0"/>
        <w:keepLines w:val="0"/>
        <w:pageBreakBefore w:val="0"/>
        <w:widowControl w:val="0"/>
        <w:shd w:val="clear"/>
        <w:kinsoku/>
        <w:wordWrap/>
        <w:overflowPunct/>
        <w:topLinePunct w:val="0"/>
        <w:autoSpaceDE/>
        <w:autoSpaceDN/>
        <w:bidi w:val="0"/>
        <w:adjustRightInd/>
        <w:snapToGrid/>
        <w:spacing w:line="400" w:lineRule="exact"/>
        <w:ind w:firstLine="560" w:firstLineChars="200"/>
        <w:textAlignment w:val="auto"/>
        <w:outlineLvl w:val="9"/>
        <w:rPr>
          <w:rFonts w:ascii="宋体" w:hAnsi="宋体" w:cs="宋体"/>
          <w:color w:val="000000"/>
          <w:sz w:val="28"/>
          <w:szCs w:val="28"/>
          <w:u w:val="single"/>
        </w:rPr>
      </w:pPr>
      <w:r>
        <w:rPr>
          <w:rFonts w:hint="eastAsia" w:ascii="宋体" w:hAnsi="宋体" w:cs="宋体"/>
          <w:color w:val="000000"/>
          <w:sz w:val="28"/>
          <w:szCs w:val="28"/>
        </w:rPr>
        <w:t>身份证号码：</w:t>
      </w:r>
      <w:r>
        <w:rPr>
          <w:rFonts w:ascii="宋体" w:hAnsi="宋体" w:cs="宋体"/>
          <w:color w:val="000000"/>
          <w:sz w:val="28"/>
          <w:szCs w:val="28"/>
          <w:u w:val="single"/>
        </w:rPr>
        <w:t xml:space="preserve">                              </w:t>
      </w:r>
    </w:p>
    <w:p>
      <w:pPr>
        <w:pStyle w:val="5"/>
        <w:pageBreakBefore w:val="0"/>
        <w:widowControl w:val="0"/>
        <w:shd w:val="clear"/>
        <w:kinsoku/>
        <w:wordWrap/>
        <w:overflowPunct/>
        <w:topLinePunct w:val="0"/>
        <w:autoSpaceDE/>
        <w:autoSpaceDN/>
        <w:bidi w:val="0"/>
        <w:adjustRightInd/>
        <w:snapToGrid/>
        <w:spacing w:line="300" w:lineRule="exact"/>
        <w:textAlignment w:val="auto"/>
        <w:rPr>
          <w:rFonts w:ascii="宋体" w:hAnsi="宋体" w:cs="宋体"/>
          <w:color w:val="000000"/>
          <w:sz w:val="28"/>
          <w:szCs w:val="28"/>
          <w:u w:val="single"/>
        </w:rPr>
      </w:pPr>
    </w:p>
    <w:tbl>
      <w:tblPr>
        <w:tblStyle w:val="12"/>
        <w:tblW w:w="7943"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exact"/>
        </w:trPr>
        <w:tc>
          <w:tcPr>
            <w:tcW w:w="7943" w:type="dxa"/>
          </w:tcPr>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r>
              <w:rPr>
                <w:rFonts w:hint="eastAsia" w:ascii="宋体" w:hAnsi="宋体" w:eastAsia="宋体" w:cs="宋体"/>
                <w:sz w:val="28"/>
                <w:szCs w:val="28"/>
              </w:rPr>
              <w:t>粘贴被授权人身份证（正反面复印件）</w:t>
            </w: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exact"/>
        </w:trPr>
        <w:tc>
          <w:tcPr>
            <w:tcW w:w="7943" w:type="dxa"/>
          </w:tcPr>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r>
              <w:rPr>
                <w:rFonts w:hint="eastAsia" w:ascii="宋体" w:hAnsi="宋体" w:eastAsia="宋体" w:cs="宋体"/>
                <w:sz w:val="28"/>
                <w:szCs w:val="28"/>
              </w:rPr>
              <w:t>粘贴法定代表人身份证（正反面复印件）</w:t>
            </w: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p>
            <w:pPr>
              <w:pageBreakBefore w:val="0"/>
              <w:widowControl w:val="0"/>
              <w:shd w:val="clear"/>
              <w:kinsoku/>
              <w:wordWrap/>
              <w:overflowPunct/>
              <w:topLinePunct w:val="0"/>
              <w:autoSpaceDE/>
              <w:autoSpaceDN/>
              <w:bidi w:val="0"/>
              <w:adjustRightInd/>
              <w:snapToGrid/>
              <w:spacing w:line="300" w:lineRule="exact"/>
              <w:textAlignment w:val="auto"/>
              <w:rPr>
                <w:rFonts w:ascii="宋体" w:hAnsi="宋体" w:eastAsia="宋体" w:cs="宋体"/>
                <w:sz w:val="28"/>
                <w:szCs w:val="28"/>
              </w:rPr>
            </w:pPr>
          </w:p>
        </w:tc>
      </w:tr>
    </w:tbl>
    <w:p>
      <w:pPr>
        <w:pStyle w:val="2"/>
        <w:pageBreakBefore w:val="0"/>
        <w:widowControl w:val="0"/>
        <w:shd w:val="clear"/>
        <w:kinsoku/>
        <w:wordWrap/>
        <w:overflowPunct/>
        <w:topLinePunct w:val="0"/>
        <w:autoSpaceDE/>
        <w:autoSpaceDN/>
        <w:bidi w:val="0"/>
        <w:adjustRightInd/>
        <w:snapToGrid/>
        <w:spacing w:line="300" w:lineRule="exact"/>
        <w:textAlignment w:val="auto"/>
        <w:rPr>
          <w:rFonts w:hint="default"/>
          <w:lang w:val="en-US" w:eastAsia="zh-CN"/>
        </w:rPr>
      </w:pPr>
    </w:p>
    <w:p>
      <w:pPr>
        <w:shd w:val="clear"/>
        <w:rPr>
          <w:rFonts w:hint="default"/>
          <w:lang w:val="en-US" w:eastAsia="zh-CN"/>
        </w:rPr>
      </w:pPr>
    </w:p>
    <w:p>
      <w:pPr>
        <w:shd w:val="clear"/>
        <w:jc w:val="both"/>
        <w:rPr>
          <w:rFonts w:hint="eastAsia" w:ascii="宋体" w:hAnsi="宋体"/>
          <w:sz w:val="32"/>
          <w:szCs w:val="32"/>
          <w:u w:val="none"/>
          <w:lang w:val="en-US" w:eastAsia="zh-CN"/>
        </w:rPr>
      </w:pPr>
      <w:r>
        <w:rPr>
          <w:rFonts w:hint="eastAsia" w:ascii="宋体" w:hAnsi="宋体"/>
          <w:sz w:val="32"/>
          <w:szCs w:val="32"/>
          <w:u w:val="none"/>
          <w:lang w:val="en-US" w:eastAsia="zh-CN"/>
        </w:rPr>
        <w:t>附件6</w:t>
      </w:r>
    </w:p>
    <w:p>
      <w:pPr>
        <w:shd w:val="clear"/>
        <w:spacing w:line="560" w:lineRule="exact"/>
        <w:jc w:val="center"/>
        <w:rPr>
          <w:rFonts w:hint="eastAsia" w:ascii="方正小标宋简体" w:eastAsia="方正小标宋简体"/>
          <w:sz w:val="52"/>
          <w:szCs w:val="52"/>
        </w:rPr>
      </w:pPr>
    </w:p>
    <w:p>
      <w:pPr>
        <w:shd w:val="clea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配电设备运维服务合同</w:t>
      </w:r>
    </w:p>
    <w:p>
      <w:pPr>
        <w:shd w:val="clear"/>
        <w:spacing w:line="560" w:lineRule="exact"/>
        <w:rPr>
          <w:rFonts w:hint="eastAsia" w:ascii="仿宋_GB2312" w:hAnsi="宋体" w:eastAsia="仿宋_GB2312"/>
          <w:sz w:val="32"/>
          <w:szCs w:val="32"/>
        </w:rPr>
      </w:pPr>
    </w:p>
    <w:p>
      <w:pPr>
        <w:shd w:val="clear"/>
        <w:spacing w:line="560" w:lineRule="exact"/>
        <w:rPr>
          <w:rFonts w:hint="eastAsia" w:ascii="方正小标宋简体" w:eastAsia="仿宋_GB2312"/>
          <w:sz w:val="52"/>
          <w:szCs w:val="52"/>
          <w:lang w:val="en-US" w:eastAsia="zh-CN"/>
        </w:rPr>
      </w:pPr>
      <w:r>
        <w:rPr>
          <w:rFonts w:hint="eastAsia" w:ascii="仿宋_GB2312" w:hAnsi="宋体" w:eastAsia="仿宋_GB2312"/>
          <w:sz w:val="32"/>
          <w:szCs w:val="32"/>
        </w:rPr>
        <w:t>委托方（甲方）：</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b/>
          <w:sz w:val="32"/>
          <w:szCs w:val="32"/>
          <w:u w:val="single"/>
        </w:rPr>
        <w:t>广西警察学院</w:t>
      </w:r>
      <w:r>
        <w:rPr>
          <w:rFonts w:hint="eastAsia" w:ascii="仿宋_GB2312" w:hAnsi="宋体" w:eastAsia="仿宋_GB2312"/>
          <w:b/>
          <w:sz w:val="32"/>
          <w:szCs w:val="32"/>
          <w:u w:val="single"/>
          <w:lang w:val="en-US" w:eastAsia="zh-CN"/>
        </w:rPr>
        <w:t xml:space="preserve">   </w:t>
      </w:r>
    </w:p>
    <w:p>
      <w:pPr>
        <w:shd w:val="clear"/>
        <w:spacing w:after="312" w:afterLines="100" w:line="560" w:lineRule="exact"/>
        <w:rPr>
          <w:rFonts w:hint="eastAsia" w:ascii="仿宋_GB2312" w:hAnsi="宋体" w:eastAsia="仿宋_GB2312"/>
          <w:b/>
          <w:sz w:val="32"/>
          <w:szCs w:val="32"/>
          <w:u w:val="single"/>
        </w:rPr>
      </w:pPr>
      <w:r>
        <w:rPr>
          <w:rFonts w:hint="eastAsia" w:ascii="仿宋_GB2312" w:hAnsi="宋体" w:eastAsia="仿宋_GB2312"/>
          <w:sz w:val="32"/>
          <w:szCs w:val="32"/>
        </w:rPr>
        <w:t>受托方（乙方）：</w:t>
      </w:r>
      <w:r>
        <w:rPr>
          <w:rFonts w:hint="eastAsia" w:ascii="仿宋_GB2312" w:hAnsi="宋体" w:eastAsia="仿宋_GB2312"/>
          <w:sz w:val="32"/>
          <w:szCs w:val="32"/>
          <w:u w:val="single"/>
        </w:rPr>
        <w:t xml:space="preserve"> </w:t>
      </w:r>
      <w:r>
        <w:rPr>
          <w:rFonts w:hint="eastAsia" w:ascii="仿宋_GB2312" w:hAnsi="宋体" w:eastAsia="仿宋_GB2312"/>
          <w:b/>
          <w:sz w:val="32"/>
          <w:szCs w:val="32"/>
          <w:u w:val="single"/>
        </w:rPr>
        <w:t xml:space="preserve">             </w:t>
      </w:r>
      <w:r>
        <w:rPr>
          <w:rFonts w:hint="eastAsia" w:ascii="仿宋_GB2312" w:hAnsi="宋体" w:eastAsia="仿宋_GB2312"/>
          <w:b/>
          <w:sz w:val="32"/>
          <w:szCs w:val="32"/>
          <w:u w:val="single"/>
          <w:lang w:val="en-US" w:eastAsia="zh-CN"/>
        </w:rPr>
        <w:t xml:space="preserve">  </w:t>
      </w:r>
      <w:r>
        <w:rPr>
          <w:rFonts w:hint="eastAsia" w:ascii="仿宋_GB2312" w:hAnsi="宋体" w:eastAsia="仿宋_GB2312"/>
          <w:b/>
          <w:sz w:val="32"/>
          <w:szCs w:val="32"/>
          <w:u w:val="single"/>
        </w:rPr>
        <w:t xml:space="preserve"> </w:t>
      </w:r>
    </w:p>
    <w:p>
      <w:pPr>
        <w:shd w:val="clear"/>
        <w:spacing w:after="312" w:afterLines="100" w:line="500" w:lineRule="exact"/>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根据《中华人民共和国民法典》及有关政策、法规之规定，双方在平等、自愿、协商一致的基础上，甲方将其配电设备委托乙方实施配电能效运维服务。为明确双方权利义务，经双方协商一致，现签订本合同，以资共同遵守。</w:t>
      </w:r>
    </w:p>
    <w:p>
      <w:pPr>
        <w:shd w:val="clear"/>
        <w:spacing w:after="312" w:afterLines="100" w:line="500" w:lineRule="exact"/>
        <w:ind w:firstLine="643" w:firstLineChars="200"/>
        <w:rPr>
          <w:rFonts w:hint="eastAsia" w:ascii="仿宋_GB2312" w:hAnsi="宋体" w:eastAsia="仿宋_GB2312"/>
          <w:sz w:val="32"/>
          <w:szCs w:val="32"/>
        </w:rPr>
      </w:pPr>
      <w:r>
        <w:rPr>
          <w:rFonts w:hint="eastAsia" w:ascii="仿宋_GB2312" w:hAnsi="宋体" w:eastAsia="仿宋_GB2312"/>
          <w:b/>
          <w:bCs w:val="0"/>
          <w:sz w:val="32"/>
          <w:szCs w:val="32"/>
        </w:rPr>
        <w:t>第一条</w:t>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从</w:t>
      </w:r>
      <w:r>
        <w:rPr>
          <w:rFonts w:hint="eastAsia" w:ascii="仿宋_GB2312" w:hAnsi="宋体" w:eastAsia="仿宋_GB2312"/>
          <w:sz w:val="32"/>
          <w:szCs w:val="32"/>
        </w:rPr>
        <w:t>甲方</w:t>
      </w:r>
      <w:r>
        <w:rPr>
          <w:rFonts w:hint="eastAsia" w:ascii="仿宋_GB2312" w:hAnsi="宋体" w:eastAsia="仿宋_GB2312"/>
          <w:bCs/>
          <w:sz w:val="32"/>
          <w:szCs w:val="32"/>
        </w:rPr>
        <w:t>与供电部门的产权分界点起，</w:t>
      </w:r>
      <w:r>
        <w:rPr>
          <w:rFonts w:hint="eastAsia" w:ascii="仿宋_GB2312" w:hAnsi="宋体" w:eastAsia="仿宋_GB2312"/>
          <w:sz w:val="32"/>
          <w:szCs w:val="32"/>
        </w:rPr>
        <w:t>到甲方变压器及配电柜低压出线开关之间连接的电气设备及设施。</w:t>
      </w:r>
      <w:r>
        <w:rPr>
          <w:rFonts w:hint="eastAsia" w:ascii="仿宋_GB2312" w:hAnsi="宋体" w:eastAsia="仿宋_GB2312"/>
          <w:bCs/>
          <w:sz w:val="32"/>
          <w:szCs w:val="32"/>
        </w:rPr>
        <w:t>设备包括</w:t>
      </w:r>
      <w:r>
        <w:rPr>
          <w:rFonts w:hint="eastAsia" w:ascii="仿宋_GB2312" w:hAnsi="宋体" w:eastAsia="仿宋_GB2312"/>
          <w:kern w:val="0"/>
          <w:sz w:val="32"/>
          <w:szCs w:val="32"/>
        </w:rPr>
        <w:t>10KV进线电缆、</w:t>
      </w:r>
      <w:r>
        <w:rPr>
          <w:rFonts w:hint="eastAsia" w:ascii="仿宋_GB2312" w:hAnsi="宋体" w:eastAsia="仿宋_GB2312"/>
          <w:bCs/>
          <w:sz w:val="32"/>
          <w:szCs w:val="32"/>
        </w:rPr>
        <w:t>变压器、高压柜、低压柜、直流屏、发电机系统、10</w:t>
      </w:r>
      <w:r>
        <w:rPr>
          <w:rFonts w:hint="eastAsia" w:ascii="仿宋_GB2312" w:hAnsi="宋体" w:eastAsia="仿宋_GB2312"/>
          <w:kern w:val="0"/>
          <w:sz w:val="32"/>
          <w:szCs w:val="32"/>
        </w:rPr>
        <w:t>KV</w:t>
      </w:r>
      <w:r>
        <w:rPr>
          <w:rFonts w:hint="eastAsia" w:ascii="仿宋_GB2312" w:hAnsi="宋体" w:eastAsia="仿宋_GB2312"/>
          <w:bCs/>
          <w:sz w:val="32"/>
          <w:szCs w:val="32"/>
        </w:rPr>
        <w:t>电缆、低压电缆及相关附属设备；设施包</w:t>
      </w:r>
      <w:r>
        <w:rPr>
          <w:rFonts w:hint="eastAsia" w:ascii="仿宋_GB2312" w:hAnsi="宋体" w:eastAsia="仿宋_GB2312" w:cs="Tahoma"/>
          <w:color w:val="000000"/>
          <w:kern w:val="0"/>
          <w:sz w:val="32"/>
          <w:szCs w:val="32"/>
        </w:rPr>
        <w:t>括：</w:t>
      </w:r>
      <w:r>
        <w:rPr>
          <w:rFonts w:hint="eastAsia" w:ascii="仿宋_GB2312" w:hAnsi="宋体" w:eastAsia="仿宋_GB2312"/>
          <w:bCs/>
          <w:sz w:val="32"/>
          <w:szCs w:val="32"/>
        </w:rPr>
        <w:t>配电房、变压器室的防小动物安全设施、照明等相关设施</w:t>
      </w:r>
      <w:r>
        <w:rPr>
          <w:rFonts w:hint="eastAsia" w:ascii="仿宋_GB2312" w:hAnsi="宋体" w:eastAsia="仿宋_GB2312"/>
          <w:sz w:val="32"/>
          <w:szCs w:val="32"/>
        </w:rPr>
        <w:t>。</w:t>
      </w:r>
    </w:p>
    <w:p>
      <w:pPr>
        <w:shd w:val="clear"/>
        <w:spacing w:after="312" w:afterLines="100" w:line="500" w:lineRule="exact"/>
        <w:ind w:firstLine="643" w:firstLineChars="200"/>
        <w:rPr>
          <w:rFonts w:hint="eastAsia" w:ascii="仿宋_GB2312" w:hAnsi="宋体" w:eastAsia="仿宋_GB2312"/>
          <w:b/>
          <w:bCs w:val="0"/>
          <w:sz w:val="32"/>
          <w:szCs w:val="32"/>
        </w:rPr>
      </w:pPr>
      <w:r>
        <w:rPr>
          <w:rFonts w:hint="eastAsia" w:ascii="仿宋_GB2312" w:hAnsi="宋体" w:eastAsia="仿宋_GB2312"/>
          <w:b/>
          <w:bCs w:val="0"/>
          <w:sz w:val="32"/>
          <w:szCs w:val="32"/>
        </w:rPr>
        <w:t>第</w:t>
      </w:r>
      <w:r>
        <w:rPr>
          <w:rFonts w:hint="eastAsia" w:ascii="仿宋_GB2312" w:hAnsi="宋体" w:eastAsia="仿宋_GB2312"/>
          <w:b/>
          <w:bCs w:val="0"/>
          <w:sz w:val="32"/>
          <w:szCs w:val="32"/>
          <w:lang w:val="en-US" w:eastAsia="zh-CN"/>
        </w:rPr>
        <w:t>二</w:t>
      </w:r>
      <w:r>
        <w:rPr>
          <w:rFonts w:hint="eastAsia" w:ascii="仿宋_GB2312" w:hAnsi="宋体" w:eastAsia="仿宋_GB2312"/>
          <w:b/>
          <w:bCs w:val="0"/>
          <w:sz w:val="32"/>
          <w:szCs w:val="32"/>
        </w:rPr>
        <w:t>条</w:t>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配电能效运维服务内容：</w:t>
      </w:r>
    </w:p>
    <w:tbl>
      <w:tblPr>
        <w:tblStyle w:val="12"/>
        <w:tblW w:w="92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2501"/>
        <w:gridCol w:w="5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jc w:val="center"/>
        </w:trPr>
        <w:tc>
          <w:tcPr>
            <w:tcW w:w="1024" w:type="dxa"/>
            <w:tcBorders>
              <w:top w:val="single" w:color="auto" w:sz="4" w:space="0"/>
              <w:left w:val="single" w:color="auto" w:sz="4" w:space="0"/>
              <w:bottom w:val="single" w:color="auto" w:sz="4" w:space="0"/>
              <w:right w:val="single" w:color="auto" w:sz="4" w:space="0"/>
            </w:tcBorders>
            <w:vAlign w:val="center"/>
          </w:tcPr>
          <w:p>
            <w:pPr>
              <w:pStyle w:val="7"/>
              <w:shd w:val="clear"/>
              <w:jc w:val="both"/>
              <w:rPr>
                <w:rFonts w:ascii="宋体"/>
                <w:b/>
                <w:kern w:val="0"/>
                <w:sz w:val="20"/>
                <w:szCs w:val="20"/>
              </w:rPr>
            </w:pPr>
            <w:r>
              <w:rPr>
                <w:rFonts w:hint="eastAsia" w:ascii="宋体" w:hAnsi="宋体"/>
                <w:b/>
                <w:kern w:val="0"/>
                <w:sz w:val="20"/>
                <w:szCs w:val="20"/>
              </w:rPr>
              <w:t>服务选项</w:t>
            </w:r>
          </w:p>
        </w:tc>
        <w:tc>
          <w:tcPr>
            <w:tcW w:w="2501" w:type="dxa"/>
            <w:tcBorders>
              <w:top w:val="single" w:color="auto" w:sz="4" w:space="0"/>
              <w:left w:val="single" w:color="auto" w:sz="4" w:space="0"/>
              <w:bottom w:val="single" w:color="auto" w:sz="4" w:space="0"/>
              <w:right w:val="single" w:color="auto" w:sz="4" w:space="0"/>
            </w:tcBorders>
            <w:vAlign w:val="center"/>
          </w:tcPr>
          <w:p>
            <w:pPr>
              <w:pStyle w:val="7"/>
              <w:shd w:val="clear"/>
              <w:jc w:val="center"/>
              <w:rPr>
                <w:rFonts w:ascii="宋体" w:hAnsi="宋体"/>
                <w:b/>
                <w:kern w:val="0"/>
                <w:sz w:val="20"/>
                <w:szCs w:val="20"/>
              </w:rPr>
            </w:pPr>
            <w:r>
              <w:rPr>
                <w:rFonts w:hint="eastAsia" w:ascii="宋体" w:hAnsi="宋体"/>
                <w:b/>
                <w:kern w:val="0"/>
                <w:sz w:val="20"/>
                <w:szCs w:val="20"/>
              </w:rPr>
              <w:t>服务包</w:t>
            </w:r>
          </w:p>
        </w:tc>
        <w:tc>
          <w:tcPr>
            <w:tcW w:w="5695" w:type="dxa"/>
            <w:tcBorders>
              <w:top w:val="single" w:color="auto" w:sz="4" w:space="0"/>
              <w:left w:val="single" w:color="auto" w:sz="4" w:space="0"/>
              <w:bottom w:val="single" w:color="auto" w:sz="4" w:space="0"/>
              <w:right w:val="single" w:color="auto" w:sz="4" w:space="0"/>
            </w:tcBorders>
            <w:vAlign w:val="center"/>
          </w:tcPr>
          <w:p>
            <w:pPr>
              <w:pStyle w:val="7"/>
              <w:shd w:val="clear"/>
              <w:jc w:val="center"/>
              <w:rPr>
                <w:rFonts w:ascii="宋体"/>
                <w:b/>
                <w:kern w:val="0"/>
                <w:sz w:val="20"/>
                <w:szCs w:val="20"/>
              </w:rPr>
            </w:pPr>
            <w:r>
              <w:rPr>
                <w:rFonts w:hint="eastAsia" w:ascii="宋体" w:hAnsi="宋体"/>
                <w:b/>
                <w:kern w:val="0"/>
                <w:sz w:val="20"/>
                <w:szCs w:val="20"/>
              </w:rPr>
              <w:t>服务内容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1024" w:type="dxa"/>
            <w:vMerge w:val="restart"/>
            <w:tcBorders>
              <w:top w:val="nil"/>
              <w:left w:val="single" w:color="auto" w:sz="4" w:space="0"/>
              <w:bottom w:val="single" w:color="auto" w:sz="4" w:space="0"/>
              <w:right w:val="single" w:color="auto" w:sz="4" w:space="0"/>
            </w:tcBorders>
            <w:vAlign w:val="center"/>
          </w:tcPr>
          <w:p>
            <w:pPr>
              <w:pStyle w:val="7"/>
              <w:shd w:val="clear"/>
              <w:rPr>
                <w:rFonts w:hint="eastAsia" w:ascii="黑体" w:hAnsi="黑体" w:eastAsia="黑体"/>
                <w:kern w:val="0"/>
                <w:sz w:val="20"/>
                <w:szCs w:val="20"/>
              </w:rPr>
            </w:pPr>
          </w:p>
          <w:p>
            <w:pPr>
              <w:pStyle w:val="7"/>
              <w:shd w:val="clear"/>
              <w:jc w:val="center"/>
              <w:rPr>
                <w:rFonts w:ascii="黑体" w:hAnsi="黑体" w:eastAsia="黑体"/>
                <w:kern w:val="0"/>
                <w:sz w:val="20"/>
                <w:szCs w:val="20"/>
              </w:rPr>
            </w:pPr>
            <w:r>
              <w:rPr>
                <w:rFonts w:ascii="黑体" w:hAnsi="黑体" w:eastAsia="黑体"/>
                <w:kern w:val="0"/>
                <w:sz w:val="20"/>
                <w:szCs w:val="20"/>
              </w:rPr>
              <w:t>（√）</w:t>
            </w:r>
          </w:p>
        </w:tc>
        <w:tc>
          <w:tcPr>
            <w:tcW w:w="2501" w:type="dxa"/>
            <w:vMerge w:val="restart"/>
            <w:tcBorders>
              <w:top w:val="nil"/>
              <w:left w:val="single" w:color="auto" w:sz="4" w:space="0"/>
              <w:bottom w:val="single" w:color="auto" w:sz="4" w:space="0"/>
              <w:right w:val="single" w:color="auto" w:sz="4" w:space="0"/>
            </w:tcBorders>
            <w:vAlign w:val="center"/>
          </w:tcPr>
          <w:p>
            <w:pPr>
              <w:pStyle w:val="7"/>
              <w:shd w:val="clear"/>
              <w:jc w:val="center"/>
              <w:rPr>
                <w:rFonts w:ascii="宋体" w:hAnsi="宋体"/>
                <w:b/>
                <w:kern w:val="0"/>
                <w:sz w:val="20"/>
                <w:szCs w:val="20"/>
              </w:rPr>
            </w:pPr>
            <w:r>
              <w:rPr>
                <w:rFonts w:hint="eastAsia" w:ascii="宋体" w:hAnsi="宋体"/>
                <w:b/>
                <w:kern w:val="0"/>
                <w:sz w:val="20"/>
                <w:szCs w:val="20"/>
              </w:rPr>
              <w:t>基础服务</w:t>
            </w:r>
          </w:p>
          <w:p>
            <w:pPr>
              <w:pStyle w:val="7"/>
              <w:shd w:val="clear"/>
              <w:jc w:val="center"/>
              <w:rPr>
                <w:rFonts w:ascii="宋体" w:hAnsi="宋体"/>
                <w:b/>
                <w:kern w:val="0"/>
                <w:sz w:val="20"/>
                <w:szCs w:val="20"/>
              </w:rPr>
            </w:pPr>
            <w:r>
              <w:rPr>
                <w:rFonts w:hint="eastAsia" w:ascii="宋体" w:hAnsi="宋体"/>
                <w:b/>
                <w:kern w:val="0"/>
                <w:sz w:val="20"/>
                <w:szCs w:val="20"/>
              </w:rPr>
              <w:t>(详见附表1)</w:t>
            </w:r>
          </w:p>
        </w:tc>
        <w:tc>
          <w:tcPr>
            <w:tcW w:w="5695" w:type="dxa"/>
            <w:tcBorders>
              <w:top w:val="single" w:color="auto" w:sz="4" w:space="0"/>
              <w:left w:val="single" w:color="auto" w:sz="4" w:space="0"/>
              <w:bottom w:val="single" w:color="auto" w:sz="4" w:space="0"/>
              <w:right w:val="single" w:color="auto" w:sz="4" w:space="0"/>
            </w:tcBorders>
            <w:vAlign w:val="center"/>
          </w:tcPr>
          <w:p>
            <w:pPr>
              <w:pStyle w:val="7"/>
              <w:shd w:val="clear"/>
              <w:rPr>
                <w:rFonts w:ascii="宋体"/>
                <w:kern w:val="0"/>
                <w:sz w:val="20"/>
                <w:szCs w:val="20"/>
              </w:rPr>
            </w:pPr>
            <w:r>
              <w:rPr>
                <w:rFonts w:hint="eastAsia" w:ascii="宋体" w:hAnsi="宋体"/>
                <w:b/>
                <w:kern w:val="0"/>
                <w:sz w:val="20"/>
                <w:szCs w:val="20"/>
              </w:rPr>
              <w:t>配电房设备、设施安全运行评测服务</w:t>
            </w:r>
            <w:r>
              <w:rPr>
                <w:rFonts w:hint="eastAsia" w:ascii="宋体" w:hAnsi="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黑体" w:hAnsi="黑体" w:eastAsia="黑体"/>
                <w:kern w:val="0"/>
                <w:sz w:val="20"/>
                <w:szCs w:val="20"/>
              </w:rPr>
            </w:pPr>
          </w:p>
        </w:tc>
        <w:tc>
          <w:tcPr>
            <w:tcW w:w="2501"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宋体" w:hAnsi="宋体"/>
                <w:b/>
                <w:kern w:val="0"/>
                <w:sz w:val="20"/>
                <w:szCs w:val="20"/>
              </w:rPr>
            </w:pPr>
          </w:p>
        </w:tc>
        <w:tc>
          <w:tcPr>
            <w:tcW w:w="5695" w:type="dxa"/>
            <w:tcBorders>
              <w:top w:val="single" w:color="auto" w:sz="4" w:space="0"/>
              <w:left w:val="single" w:color="auto" w:sz="4" w:space="0"/>
              <w:bottom w:val="single" w:color="auto" w:sz="4" w:space="0"/>
              <w:right w:val="single" w:color="auto" w:sz="4" w:space="0"/>
            </w:tcBorders>
            <w:vAlign w:val="center"/>
          </w:tcPr>
          <w:p>
            <w:pPr>
              <w:pStyle w:val="7"/>
              <w:shd w:val="clear"/>
              <w:rPr>
                <w:rFonts w:ascii="宋体"/>
                <w:kern w:val="0"/>
                <w:sz w:val="20"/>
                <w:szCs w:val="20"/>
              </w:rPr>
            </w:pPr>
            <w:r>
              <w:rPr>
                <w:rFonts w:hint="eastAsia" w:ascii="宋体" w:hAnsi="宋体"/>
                <w:b/>
                <w:kern w:val="0"/>
                <w:sz w:val="20"/>
                <w:szCs w:val="20"/>
              </w:rPr>
              <w:t>配电房设备、设施安全运行缺陷初次整治优化服务</w:t>
            </w:r>
            <w:r>
              <w:rPr>
                <w:rFonts w:hint="eastAsia" w:ascii="宋体" w:hAnsi="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黑体" w:hAnsi="黑体" w:eastAsia="黑体"/>
                <w:kern w:val="0"/>
                <w:sz w:val="20"/>
                <w:szCs w:val="20"/>
              </w:rPr>
            </w:pPr>
          </w:p>
        </w:tc>
        <w:tc>
          <w:tcPr>
            <w:tcW w:w="2501"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宋体" w:hAnsi="宋体"/>
                <w:b/>
                <w:kern w:val="0"/>
                <w:sz w:val="20"/>
                <w:szCs w:val="20"/>
              </w:rPr>
            </w:pPr>
          </w:p>
        </w:tc>
        <w:tc>
          <w:tcPr>
            <w:tcW w:w="5695" w:type="dxa"/>
            <w:tcBorders>
              <w:top w:val="single" w:color="auto" w:sz="4" w:space="0"/>
              <w:left w:val="single" w:color="auto" w:sz="4" w:space="0"/>
              <w:bottom w:val="single" w:color="auto" w:sz="4" w:space="0"/>
              <w:right w:val="single" w:color="auto" w:sz="4" w:space="0"/>
            </w:tcBorders>
            <w:vAlign w:val="center"/>
          </w:tcPr>
          <w:p>
            <w:pPr>
              <w:pStyle w:val="7"/>
              <w:shd w:val="clear"/>
              <w:rPr>
                <w:rFonts w:ascii="宋体"/>
                <w:b/>
                <w:kern w:val="0"/>
                <w:sz w:val="20"/>
                <w:szCs w:val="20"/>
              </w:rPr>
            </w:pPr>
            <w:r>
              <w:rPr>
                <w:rFonts w:hint="eastAsia" w:ascii="宋体" w:hAnsi="宋体"/>
                <w:b/>
                <w:kern w:val="0"/>
                <w:sz w:val="20"/>
                <w:szCs w:val="20"/>
              </w:rPr>
              <w:t>配电房安全运维建档服务；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黑体" w:hAnsi="黑体" w:eastAsia="黑体"/>
                <w:kern w:val="0"/>
                <w:sz w:val="20"/>
                <w:szCs w:val="20"/>
              </w:rPr>
            </w:pPr>
          </w:p>
        </w:tc>
        <w:tc>
          <w:tcPr>
            <w:tcW w:w="2501"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宋体" w:hAnsi="宋体"/>
                <w:b/>
                <w:kern w:val="0"/>
                <w:sz w:val="20"/>
                <w:szCs w:val="20"/>
              </w:rPr>
            </w:pPr>
          </w:p>
        </w:tc>
        <w:tc>
          <w:tcPr>
            <w:tcW w:w="5695" w:type="dxa"/>
            <w:tcBorders>
              <w:top w:val="single" w:color="auto" w:sz="4" w:space="0"/>
              <w:left w:val="single" w:color="auto" w:sz="4" w:space="0"/>
              <w:bottom w:val="single" w:color="auto" w:sz="4" w:space="0"/>
              <w:right w:val="single" w:color="auto" w:sz="4" w:space="0"/>
            </w:tcBorders>
            <w:vAlign w:val="center"/>
          </w:tcPr>
          <w:p>
            <w:pPr>
              <w:pStyle w:val="7"/>
              <w:shd w:val="clear"/>
              <w:rPr>
                <w:rFonts w:ascii="宋体"/>
                <w:b/>
                <w:kern w:val="0"/>
                <w:sz w:val="20"/>
                <w:szCs w:val="20"/>
              </w:rPr>
            </w:pPr>
            <w:r>
              <w:rPr>
                <w:rFonts w:hint="eastAsia" w:ascii="宋体" w:hAnsi="宋体"/>
                <w:b/>
                <w:kern w:val="0"/>
                <w:sz w:val="20"/>
                <w:szCs w:val="20"/>
              </w:rPr>
              <w:t>配电房安全运维保障服务：</w:t>
            </w:r>
          </w:p>
          <w:p>
            <w:pPr>
              <w:pStyle w:val="4"/>
              <w:numPr>
                <w:ilvl w:val="0"/>
                <w:numId w:val="2"/>
              </w:numPr>
              <w:shd w:val="clear"/>
              <w:ind w:leftChars="0"/>
              <w:rPr>
                <w:rFonts w:hint="eastAsia" w:ascii="宋体" w:hAnsi="宋体"/>
                <w:b/>
                <w:color w:val="000000"/>
                <w:kern w:val="0"/>
              </w:rPr>
            </w:pPr>
            <w:r>
              <w:rPr>
                <w:rFonts w:ascii="宋体" w:hAnsi="宋体"/>
                <w:color w:val="000000"/>
              </w:rPr>
              <w:fldChar w:fldCharType="begin"/>
            </w:r>
            <w:r>
              <w:rPr>
                <w:rFonts w:ascii="宋体" w:hAnsi="宋体"/>
                <w:color w:val="000000"/>
              </w:rPr>
              <w:instrText xml:space="preserve"> HYPERLINK "" \l "_Toc30672" </w:instrText>
            </w:r>
            <w:r>
              <w:rPr>
                <w:rFonts w:ascii="宋体" w:hAnsi="宋体"/>
                <w:color w:val="000000"/>
              </w:rPr>
              <w:fldChar w:fldCharType="separate"/>
            </w:r>
            <w:r>
              <w:rPr>
                <w:rStyle w:val="11"/>
                <w:rFonts w:hint="eastAsia" w:ascii="宋体" w:hAnsi="宋体"/>
                <w:color w:val="000000"/>
              </w:rPr>
              <w:t>7*24小时随时待命，on call服务</w:t>
            </w:r>
            <w:r>
              <w:rPr>
                <w:rFonts w:ascii="宋体" w:hAnsi="宋体"/>
                <w:color w:val="000000"/>
              </w:rPr>
              <w:fldChar w:fldCharType="end"/>
            </w:r>
            <w:r>
              <w:rPr>
                <w:rFonts w:hint="eastAsia" w:ascii="宋体" w:hAnsi="宋体"/>
                <w:b/>
                <w:color w:val="000000"/>
                <w:kern w:val="0"/>
              </w:rPr>
              <w:t>；</w:t>
            </w:r>
          </w:p>
          <w:p>
            <w:pPr>
              <w:pStyle w:val="4"/>
              <w:numPr>
                <w:ilvl w:val="0"/>
                <w:numId w:val="2"/>
              </w:numPr>
              <w:shd w:val="clear"/>
              <w:ind w:leftChars="0"/>
              <w:rPr>
                <w:rFonts w:hint="eastAsia"/>
                <w:b/>
                <w:color w:val="000000"/>
              </w:rPr>
            </w:pPr>
            <w:r>
              <w:rPr>
                <w:color w:val="000000"/>
              </w:rPr>
              <w:fldChar w:fldCharType="begin"/>
            </w:r>
            <w:r>
              <w:rPr>
                <w:color w:val="000000"/>
              </w:rPr>
              <w:instrText xml:space="preserve"> HYPERLINK "" \l "_Toc17499" </w:instrText>
            </w:r>
            <w:r>
              <w:rPr>
                <w:color w:val="000000"/>
              </w:rPr>
              <w:fldChar w:fldCharType="separate"/>
            </w:r>
            <w:r>
              <w:rPr>
                <w:rStyle w:val="11"/>
                <w:rFonts w:ascii="宋体" w:hAnsi="宋体"/>
                <w:color w:val="000000"/>
              </w:rPr>
              <w:t>专业定检服务</w:t>
            </w:r>
            <w:r>
              <w:rPr>
                <w:color w:val="000000"/>
              </w:rPr>
              <w:fldChar w:fldCharType="end"/>
            </w:r>
            <w:r>
              <w:rPr>
                <w:rFonts w:hint="eastAsia" w:ascii="宋体" w:hAnsi="宋体"/>
                <w:b/>
                <w:color w:val="000000"/>
              </w:rPr>
              <w:t>；</w:t>
            </w:r>
          </w:p>
          <w:p>
            <w:pPr>
              <w:pStyle w:val="4"/>
              <w:numPr>
                <w:ilvl w:val="0"/>
                <w:numId w:val="2"/>
              </w:numPr>
              <w:shd w:val="clear"/>
              <w:ind w:leftChars="0"/>
              <w:rPr>
                <w:rFonts w:ascii="宋体"/>
                <w:b/>
                <w:color w:val="000000"/>
                <w:kern w:val="0"/>
                <w:sz w:val="20"/>
                <w:szCs w:val="20"/>
              </w:rPr>
            </w:pPr>
            <w:r>
              <w:rPr>
                <w:color w:val="000000"/>
              </w:rPr>
              <w:fldChar w:fldCharType="begin"/>
            </w:r>
            <w:r>
              <w:rPr>
                <w:color w:val="000000"/>
              </w:rPr>
              <w:instrText xml:space="preserve"> HYPERLINK "" \l "_Toc2854" </w:instrText>
            </w:r>
            <w:r>
              <w:rPr>
                <w:color w:val="000000"/>
              </w:rPr>
              <w:fldChar w:fldCharType="separate"/>
            </w:r>
            <w:r>
              <w:rPr>
                <w:rStyle w:val="11"/>
                <w:rFonts w:ascii="宋体" w:hAnsi="宋体"/>
                <w:color w:val="000000"/>
              </w:rPr>
              <w:t>缺陷故障管理服务</w:t>
            </w:r>
            <w:r>
              <w:rPr>
                <w:color w:val="000000"/>
              </w:rPr>
              <w:fldChar w:fldCharType="end"/>
            </w:r>
            <w:r>
              <w:rPr>
                <w:rFonts w:hint="eastAsia" w:ascii="宋体" w:hAnsi="宋体"/>
                <w:b/>
                <w:color w:val="000000"/>
              </w:rPr>
              <w:t>；</w:t>
            </w:r>
          </w:p>
          <w:p>
            <w:pPr>
              <w:pStyle w:val="4"/>
              <w:numPr>
                <w:ilvl w:val="0"/>
                <w:numId w:val="2"/>
              </w:numPr>
              <w:shd w:val="clear"/>
              <w:ind w:leftChars="0"/>
              <w:rPr>
                <w:rFonts w:ascii="宋体"/>
                <w:kern w:val="0"/>
                <w:sz w:val="20"/>
                <w:szCs w:val="20"/>
              </w:rPr>
            </w:pPr>
            <w:r>
              <w:rPr>
                <w:color w:val="000000"/>
              </w:rPr>
              <w:fldChar w:fldCharType="begin"/>
            </w:r>
            <w:r>
              <w:rPr>
                <w:color w:val="000000"/>
              </w:rPr>
              <w:instrText xml:space="preserve"> HYPERLINK "" \l "_Toc26989" </w:instrText>
            </w:r>
            <w:r>
              <w:rPr>
                <w:color w:val="000000"/>
              </w:rPr>
              <w:fldChar w:fldCharType="separate"/>
            </w:r>
            <w:r>
              <w:rPr>
                <w:rStyle w:val="11"/>
                <w:rFonts w:ascii="宋体" w:hAnsi="宋体"/>
                <w:color w:val="000000"/>
              </w:rPr>
              <w:t>事故应急处理服务</w:t>
            </w:r>
            <w:r>
              <w:rPr>
                <w:color w:val="000000"/>
              </w:rPr>
              <w:fldChar w:fldCharType="end"/>
            </w:r>
            <w:r>
              <w:rPr>
                <w:rFonts w:hint="eastAsia"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黑体" w:hAnsi="黑体" w:eastAsia="黑体"/>
                <w:kern w:val="0"/>
                <w:sz w:val="20"/>
                <w:szCs w:val="20"/>
              </w:rPr>
            </w:pPr>
          </w:p>
        </w:tc>
        <w:tc>
          <w:tcPr>
            <w:tcW w:w="2501"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宋体" w:hAnsi="宋体"/>
                <w:b/>
                <w:kern w:val="0"/>
                <w:sz w:val="20"/>
                <w:szCs w:val="20"/>
              </w:rPr>
            </w:pPr>
          </w:p>
        </w:tc>
        <w:tc>
          <w:tcPr>
            <w:tcW w:w="5695" w:type="dxa"/>
            <w:tcBorders>
              <w:top w:val="single" w:color="auto" w:sz="4" w:space="0"/>
              <w:left w:val="single" w:color="auto" w:sz="4" w:space="0"/>
              <w:bottom w:val="single" w:color="auto" w:sz="4" w:space="0"/>
              <w:right w:val="single" w:color="auto" w:sz="4" w:space="0"/>
            </w:tcBorders>
            <w:vAlign w:val="center"/>
          </w:tcPr>
          <w:p>
            <w:pPr>
              <w:pStyle w:val="7"/>
              <w:shd w:val="clear"/>
              <w:rPr>
                <w:rFonts w:ascii="宋体"/>
                <w:b/>
                <w:kern w:val="0"/>
                <w:sz w:val="20"/>
                <w:szCs w:val="20"/>
              </w:rPr>
            </w:pPr>
            <w:r>
              <w:rPr>
                <w:rFonts w:hint="eastAsia" w:ascii="宋体" w:hAnsi="宋体"/>
                <w:b/>
                <w:kern w:val="0"/>
                <w:sz w:val="20"/>
                <w:szCs w:val="20"/>
              </w:rPr>
              <w:t>配电房安全运维报告服务；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黑体" w:hAnsi="黑体" w:eastAsia="黑体"/>
                <w:kern w:val="0"/>
                <w:sz w:val="20"/>
                <w:szCs w:val="20"/>
              </w:rPr>
            </w:pPr>
          </w:p>
        </w:tc>
        <w:tc>
          <w:tcPr>
            <w:tcW w:w="2501"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宋体" w:hAnsi="宋体"/>
                <w:b/>
                <w:kern w:val="0"/>
                <w:sz w:val="20"/>
                <w:szCs w:val="20"/>
              </w:rPr>
            </w:pPr>
          </w:p>
        </w:tc>
        <w:tc>
          <w:tcPr>
            <w:tcW w:w="5695" w:type="dxa"/>
            <w:tcBorders>
              <w:top w:val="single" w:color="auto" w:sz="4" w:space="0"/>
              <w:left w:val="single" w:color="auto" w:sz="4" w:space="0"/>
              <w:bottom w:val="single" w:color="auto" w:sz="4" w:space="0"/>
              <w:right w:val="single" w:color="auto" w:sz="4" w:space="0"/>
            </w:tcBorders>
            <w:vAlign w:val="center"/>
          </w:tcPr>
          <w:p>
            <w:pPr>
              <w:pStyle w:val="7"/>
              <w:shd w:val="clear"/>
              <w:rPr>
                <w:rFonts w:ascii="宋体"/>
                <w:b/>
                <w:kern w:val="0"/>
                <w:sz w:val="20"/>
                <w:szCs w:val="20"/>
              </w:rPr>
            </w:pPr>
            <w:r>
              <w:rPr>
                <w:rFonts w:hint="eastAsia" w:ascii="宋体" w:hAnsi="宋体"/>
                <w:b/>
                <w:kern w:val="0"/>
                <w:sz w:val="20"/>
                <w:szCs w:val="20"/>
              </w:rPr>
              <w:t>配电房安全能效分析建档服务；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黑体" w:hAnsi="黑体" w:eastAsia="黑体"/>
                <w:kern w:val="0"/>
                <w:sz w:val="20"/>
                <w:szCs w:val="20"/>
              </w:rPr>
            </w:pPr>
          </w:p>
        </w:tc>
        <w:tc>
          <w:tcPr>
            <w:tcW w:w="2501"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宋体" w:hAnsi="宋体"/>
                <w:b/>
                <w:kern w:val="0"/>
                <w:sz w:val="20"/>
                <w:szCs w:val="20"/>
              </w:rPr>
            </w:pPr>
          </w:p>
        </w:tc>
        <w:tc>
          <w:tcPr>
            <w:tcW w:w="5695" w:type="dxa"/>
            <w:tcBorders>
              <w:top w:val="single" w:color="auto" w:sz="4" w:space="0"/>
              <w:left w:val="single" w:color="auto" w:sz="4" w:space="0"/>
              <w:bottom w:val="single" w:color="auto" w:sz="4" w:space="0"/>
              <w:right w:val="single" w:color="auto" w:sz="4" w:space="0"/>
            </w:tcBorders>
            <w:vAlign w:val="center"/>
          </w:tcPr>
          <w:p>
            <w:pPr>
              <w:pStyle w:val="7"/>
              <w:shd w:val="clear"/>
              <w:rPr>
                <w:rFonts w:ascii="宋体"/>
                <w:b/>
                <w:kern w:val="0"/>
                <w:sz w:val="20"/>
                <w:szCs w:val="20"/>
              </w:rPr>
            </w:pPr>
            <w:r>
              <w:rPr>
                <w:rFonts w:hint="eastAsia" w:ascii="宋体" w:hAnsi="宋体"/>
                <w:b/>
                <w:kern w:val="0"/>
                <w:sz w:val="20"/>
                <w:szCs w:val="20"/>
              </w:rPr>
              <w:t>配电房能效运行报告服务；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3" w:hRule="atLeast"/>
          <w:jc w:val="center"/>
        </w:trPr>
        <w:tc>
          <w:tcPr>
            <w:tcW w:w="1024" w:type="dxa"/>
            <w:tcBorders>
              <w:top w:val="single" w:color="auto" w:sz="4" w:space="0"/>
              <w:left w:val="single" w:color="auto" w:sz="4" w:space="0"/>
              <w:bottom w:val="single" w:color="auto" w:sz="4" w:space="0"/>
              <w:right w:val="single" w:color="auto" w:sz="4" w:space="0"/>
            </w:tcBorders>
            <w:vAlign w:val="center"/>
          </w:tcPr>
          <w:p>
            <w:pPr>
              <w:pStyle w:val="7"/>
              <w:shd w:val="clear"/>
              <w:rPr>
                <w:rFonts w:ascii="黑体" w:hAnsi="黑体" w:eastAsia="黑体"/>
                <w:kern w:val="0"/>
                <w:sz w:val="20"/>
                <w:szCs w:val="20"/>
              </w:rPr>
            </w:pPr>
            <w:r>
              <w:rPr>
                <w:rFonts w:ascii="黑体" w:hAnsi="黑体" w:eastAsia="黑体"/>
                <w:kern w:val="0"/>
                <w:sz w:val="20"/>
                <w:szCs w:val="20"/>
              </w:rPr>
              <w:t>（√）</w:t>
            </w:r>
          </w:p>
          <w:p>
            <w:pPr>
              <w:pStyle w:val="7"/>
              <w:shd w:val="clear"/>
              <w:rPr>
                <w:rFonts w:ascii="黑体" w:hAnsi="黑体" w:eastAsia="黑体"/>
                <w:kern w:val="0"/>
                <w:sz w:val="20"/>
                <w:szCs w:val="20"/>
              </w:rPr>
            </w:pPr>
            <w:r>
              <w:rPr>
                <w:rFonts w:hint="eastAsia" w:ascii="黑体" w:hAnsi="黑体" w:eastAsia="黑体"/>
                <w:kern w:val="0"/>
                <w:sz w:val="20"/>
                <w:szCs w:val="20"/>
              </w:rPr>
              <w:t xml:space="preserve">                                                                         </w:t>
            </w:r>
          </w:p>
        </w:tc>
        <w:tc>
          <w:tcPr>
            <w:tcW w:w="2501" w:type="dxa"/>
            <w:tcBorders>
              <w:top w:val="single" w:color="auto" w:sz="4" w:space="0"/>
              <w:left w:val="single" w:color="auto" w:sz="4" w:space="0"/>
              <w:bottom w:val="single" w:color="auto" w:sz="4" w:space="0"/>
              <w:right w:val="single" w:color="auto" w:sz="4" w:space="0"/>
            </w:tcBorders>
            <w:vAlign w:val="top"/>
          </w:tcPr>
          <w:p>
            <w:pPr>
              <w:pStyle w:val="7"/>
              <w:shd w:val="clear"/>
              <w:rPr>
                <w:rFonts w:ascii="宋体" w:hAnsi="宋体"/>
                <w:b/>
                <w:kern w:val="0"/>
                <w:sz w:val="20"/>
                <w:szCs w:val="20"/>
              </w:rPr>
            </w:pPr>
          </w:p>
          <w:p>
            <w:pPr>
              <w:pStyle w:val="7"/>
              <w:shd w:val="clear"/>
              <w:rPr>
                <w:rFonts w:hint="eastAsia" w:ascii="宋体" w:hAnsi="宋体"/>
                <w:b/>
                <w:kern w:val="0"/>
                <w:sz w:val="20"/>
                <w:szCs w:val="20"/>
              </w:rPr>
            </w:pPr>
            <w:r>
              <w:rPr>
                <w:rFonts w:hint="eastAsia" w:ascii="宋体" w:hAnsi="宋体"/>
                <w:b/>
                <w:kern w:val="0"/>
                <w:sz w:val="20"/>
                <w:szCs w:val="20"/>
              </w:rPr>
              <w:t>高压设备周期性预防试验</w:t>
            </w:r>
          </w:p>
          <w:p>
            <w:pPr>
              <w:pStyle w:val="7"/>
              <w:shd w:val="clear"/>
              <w:rPr>
                <w:rFonts w:ascii="宋体" w:hAnsi="宋体"/>
                <w:b/>
                <w:kern w:val="0"/>
                <w:sz w:val="20"/>
                <w:szCs w:val="20"/>
              </w:rPr>
            </w:pPr>
            <w:r>
              <w:rPr>
                <w:rFonts w:hint="eastAsia" w:ascii="宋体" w:hAnsi="宋体"/>
                <w:b/>
                <w:kern w:val="0"/>
                <w:sz w:val="20"/>
                <w:szCs w:val="20"/>
              </w:rPr>
              <w:t>(试验内容详见附表2)</w:t>
            </w:r>
          </w:p>
        </w:tc>
        <w:tc>
          <w:tcPr>
            <w:tcW w:w="5695" w:type="dxa"/>
            <w:tcBorders>
              <w:top w:val="single" w:color="auto" w:sz="4" w:space="0"/>
              <w:left w:val="single" w:color="auto" w:sz="4" w:space="0"/>
              <w:bottom w:val="single" w:color="auto" w:sz="4" w:space="0"/>
              <w:right w:val="single" w:color="auto" w:sz="4" w:space="0"/>
            </w:tcBorders>
            <w:vAlign w:val="center"/>
          </w:tcPr>
          <w:p>
            <w:pPr>
              <w:pStyle w:val="7"/>
              <w:shd w:val="clear"/>
              <w:rPr>
                <w:rFonts w:ascii="宋体" w:hAnsi="宋体"/>
                <w:b/>
                <w:kern w:val="0"/>
                <w:sz w:val="20"/>
                <w:szCs w:val="20"/>
              </w:rPr>
            </w:pPr>
            <w:r>
              <w:rPr>
                <w:rFonts w:hint="eastAsia" w:ascii="宋体" w:hAnsi="宋体"/>
                <w:b/>
                <w:kern w:val="0"/>
                <w:sz w:val="20"/>
                <w:szCs w:val="20"/>
              </w:rPr>
              <w:t>按照国家要求，为服务范围内高压设备进行周期性预防试验；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024" w:type="dxa"/>
            <w:vMerge w:val="restart"/>
            <w:tcBorders>
              <w:top w:val="nil"/>
              <w:left w:val="single" w:color="auto" w:sz="4" w:space="0"/>
              <w:bottom w:val="single" w:color="auto" w:sz="4" w:space="0"/>
              <w:right w:val="single" w:color="auto" w:sz="4" w:space="0"/>
            </w:tcBorders>
            <w:vAlign w:val="center"/>
          </w:tcPr>
          <w:p>
            <w:pPr>
              <w:pStyle w:val="7"/>
              <w:shd w:val="clear"/>
              <w:jc w:val="center"/>
              <w:rPr>
                <w:rFonts w:ascii="黑体" w:hAnsi="黑体" w:eastAsia="黑体"/>
                <w:kern w:val="0"/>
                <w:sz w:val="20"/>
                <w:szCs w:val="20"/>
              </w:rPr>
            </w:pPr>
          </w:p>
          <w:p>
            <w:pPr>
              <w:pStyle w:val="7"/>
              <w:shd w:val="clear"/>
              <w:rPr>
                <w:rFonts w:ascii="黑体" w:hAnsi="黑体" w:eastAsia="黑体"/>
                <w:kern w:val="0"/>
                <w:sz w:val="20"/>
                <w:szCs w:val="20"/>
              </w:rPr>
            </w:pPr>
            <w:r>
              <w:rPr>
                <w:rFonts w:hint="eastAsia" w:ascii="黑体" w:hAnsi="黑体" w:eastAsia="黑体"/>
                <w:kern w:val="0"/>
                <w:sz w:val="20"/>
                <w:szCs w:val="20"/>
              </w:rPr>
              <w:t>（√）</w:t>
            </w:r>
          </w:p>
        </w:tc>
        <w:tc>
          <w:tcPr>
            <w:tcW w:w="2501" w:type="dxa"/>
            <w:vMerge w:val="restart"/>
            <w:tcBorders>
              <w:top w:val="nil"/>
              <w:left w:val="single" w:color="auto" w:sz="4" w:space="0"/>
              <w:bottom w:val="single" w:color="auto" w:sz="4" w:space="0"/>
              <w:right w:val="single" w:color="auto" w:sz="4" w:space="0"/>
            </w:tcBorders>
            <w:vAlign w:val="center"/>
          </w:tcPr>
          <w:p>
            <w:pPr>
              <w:pStyle w:val="7"/>
              <w:shd w:val="clear"/>
              <w:rPr>
                <w:rFonts w:ascii="宋体" w:hAnsi="宋体"/>
                <w:b/>
                <w:kern w:val="0"/>
                <w:sz w:val="20"/>
                <w:szCs w:val="20"/>
              </w:rPr>
            </w:pPr>
            <w:r>
              <w:rPr>
                <w:rFonts w:hint="eastAsia" w:ascii="宋体" w:hAnsi="宋体"/>
                <w:b/>
                <w:kern w:val="0"/>
                <w:sz w:val="20"/>
                <w:szCs w:val="20"/>
              </w:rPr>
              <w:t>配电房能效技术分析服务/能效提升技术改造保障服务</w:t>
            </w:r>
          </w:p>
        </w:tc>
        <w:tc>
          <w:tcPr>
            <w:tcW w:w="5695" w:type="dxa"/>
            <w:tcBorders>
              <w:top w:val="single" w:color="auto" w:sz="4" w:space="0"/>
              <w:left w:val="single" w:color="auto" w:sz="4" w:space="0"/>
              <w:bottom w:val="single" w:color="auto" w:sz="4" w:space="0"/>
              <w:right w:val="single" w:color="auto" w:sz="4" w:space="0"/>
            </w:tcBorders>
            <w:vAlign w:val="center"/>
          </w:tcPr>
          <w:p>
            <w:pPr>
              <w:pStyle w:val="7"/>
              <w:shd w:val="clear"/>
              <w:rPr>
                <w:rFonts w:ascii="宋体"/>
                <w:b/>
                <w:kern w:val="0"/>
                <w:sz w:val="20"/>
                <w:szCs w:val="20"/>
              </w:rPr>
            </w:pPr>
            <w:r>
              <w:rPr>
                <w:rFonts w:hint="eastAsia" w:ascii="宋体" w:hAnsi="宋体"/>
                <w:b/>
                <w:kern w:val="0"/>
                <w:sz w:val="20"/>
                <w:szCs w:val="20"/>
              </w:rPr>
              <w:t>配电房能效运行技术分析服务；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宋体" w:hAnsi="Times New Roman"/>
                <w:kern w:val="0"/>
                <w:sz w:val="20"/>
                <w:szCs w:val="20"/>
              </w:rPr>
            </w:pPr>
          </w:p>
        </w:tc>
        <w:tc>
          <w:tcPr>
            <w:tcW w:w="2501" w:type="dxa"/>
            <w:vMerge w:val="continue"/>
            <w:tcBorders>
              <w:top w:val="nil"/>
              <w:left w:val="single" w:color="auto" w:sz="4" w:space="0"/>
              <w:bottom w:val="single" w:color="auto" w:sz="4" w:space="0"/>
              <w:right w:val="single" w:color="auto" w:sz="4" w:space="0"/>
            </w:tcBorders>
            <w:vAlign w:val="center"/>
          </w:tcPr>
          <w:p>
            <w:pPr>
              <w:widowControl/>
              <w:shd w:val="clear"/>
              <w:jc w:val="left"/>
              <w:rPr>
                <w:rFonts w:ascii="宋体" w:hAnsi="宋体"/>
                <w:b/>
                <w:kern w:val="0"/>
                <w:sz w:val="20"/>
                <w:szCs w:val="20"/>
              </w:rPr>
            </w:pPr>
          </w:p>
        </w:tc>
        <w:tc>
          <w:tcPr>
            <w:tcW w:w="5695" w:type="dxa"/>
            <w:tcBorders>
              <w:top w:val="single" w:color="auto" w:sz="4" w:space="0"/>
              <w:left w:val="single" w:color="auto" w:sz="4" w:space="0"/>
              <w:bottom w:val="single" w:color="auto" w:sz="4" w:space="0"/>
              <w:right w:val="single" w:color="auto" w:sz="4" w:space="0"/>
            </w:tcBorders>
            <w:vAlign w:val="center"/>
          </w:tcPr>
          <w:p>
            <w:pPr>
              <w:pStyle w:val="7"/>
              <w:shd w:val="clear"/>
              <w:rPr>
                <w:rFonts w:ascii="宋体"/>
                <w:b/>
                <w:kern w:val="0"/>
                <w:sz w:val="20"/>
                <w:szCs w:val="20"/>
              </w:rPr>
            </w:pPr>
            <w:r>
              <w:rPr>
                <w:rFonts w:hint="eastAsia" w:ascii="宋体" w:hAnsi="宋体"/>
                <w:b/>
                <w:kern w:val="0"/>
                <w:sz w:val="20"/>
                <w:szCs w:val="20"/>
              </w:rPr>
              <w:t>配电房能效提升技术改造保障服务；</w:t>
            </w:r>
          </w:p>
        </w:tc>
      </w:tr>
    </w:tbl>
    <w:p>
      <w:pPr>
        <w:shd w:val="clear"/>
        <w:spacing w:after="312" w:afterLines="100" w:line="500" w:lineRule="exact"/>
        <w:rPr>
          <w:rFonts w:hint="eastAsia" w:ascii="仿宋_GB2312" w:hAnsi="宋体" w:eastAsia="仿宋_GB2312"/>
          <w:b/>
          <w:bCs w:val="0"/>
          <w:sz w:val="32"/>
          <w:szCs w:val="32"/>
        </w:rPr>
      </w:pPr>
    </w:p>
    <w:p>
      <w:pPr>
        <w:shd w:val="clear"/>
        <w:spacing w:after="312" w:afterLines="100" w:line="500" w:lineRule="exact"/>
        <w:rPr>
          <w:rFonts w:hint="eastAsia" w:ascii="仿宋_GB2312" w:hAnsi="宋体" w:eastAsia="仿宋_GB2312"/>
          <w:b/>
          <w:bCs w:val="0"/>
          <w:sz w:val="32"/>
          <w:szCs w:val="32"/>
        </w:rPr>
      </w:pPr>
      <w:r>
        <w:rPr>
          <w:rFonts w:hint="eastAsia" w:ascii="仿宋_GB2312" w:hAnsi="宋体" w:eastAsia="仿宋_GB2312"/>
          <w:b/>
          <w:bCs w:val="0"/>
          <w:sz w:val="32"/>
          <w:szCs w:val="32"/>
        </w:rPr>
        <w:t>第</w:t>
      </w:r>
      <w:r>
        <w:rPr>
          <w:rFonts w:hint="eastAsia" w:ascii="仿宋_GB2312" w:hAnsi="宋体" w:eastAsia="仿宋_GB2312"/>
          <w:b/>
          <w:bCs w:val="0"/>
          <w:sz w:val="32"/>
          <w:szCs w:val="32"/>
          <w:lang w:val="en-US" w:eastAsia="zh-CN"/>
        </w:rPr>
        <w:t>三</w:t>
      </w:r>
      <w:r>
        <w:rPr>
          <w:rFonts w:hint="eastAsia" w:ascii="仿宋_GB2312" w:hAnsi="宋体" w:eastAsia="仿宋_GB2312"/>
          <w:b/>
          <w:bCs w:val="0"/>
          <w:sz w:val="32"/>
          <w:szCs w:val="32"/>
        </w:rPr>
        <w:t>条</w:t>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设备清单：</w:t>
      </w:r>
    </w:p>
    <w:tbl>
      <w:tblPr>
        <w:tblStyle w:val="12"/>
        <w:tblW w:w="9771" w:type="dxa"/>
        <w:jc w:val="center"/>
        <w:tblInd w:w="0" w:type="dxa"/>
        <w:shd w:val="clear" w:color="auto" w:fill="auto"/>
        <w:tblLayout w:type="fixed"/>
        <w:tblCellMar>
          <w:top w:w="0" w:type="dxa"/>
          <w:left w:w="108" w:type="dxa"/>
          <w:bottom w:w="0" w:type="dxa"/>
          <w:right w:w="108" w:type="dxa"/>
        </w:tblCellMar>
      </w:tblPr>
      <w:tblGrid>
        <w:gridCol w:w="1761"/>
        <w:gridCol w:w="2340"/>
        <w:gridCol w:w="709"/>
        <w:gridCol w:w="1235"/>
        <w:gridCol w:w="1056"/>
        <w:gridCol w:w="1276"/>
        <w:gridCol w:w="1394"/>
      </w:tblGrid>
      <w:tr>
        <w:tblPrEx>
          <w:tblLayout w:type="fixed"/>
          <w:tblCellMar>
            <w:top w:w="0" w:type="dxa"/>
            <w:left w:w="108" w:type="dxa"/>
            <w:bottom w:w="0" w:type="dxa"/>
            <w:right w:w="108" w:type="dxa"/>
          </w:tblCellMar>
        </w:tblPrEx>
        <w:trPr>
          <w:trHeight w:val="285" w:hRule="atLeast"/>
          <w:jc w:val="center"/>
        </w:trPr>
        <w:tc>
          <w:tcPr>
            <w:tcW w:w="4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户名</w:t>
            </w:r>
          </w:p>
        </w:tc>
        <w:tc>
          <w:tcPr>
            <w:tcW w:w="1944" w:type="dxa"/>
            <w:gridSpan w:val="2"/>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户号</w:t>
            </w:r>
          </w:p>
        </w:tc>
        <w:tc>
          <w:tcPr>
            <w:tcW w:w="3726" w:type="dxa"/>
            <w:gridSpan w:val="3"/>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用电地址</w:t>
            </w:r>
          </w:p>
        </w:tc>
      </w:tr>
      <w:tr>
        <w:tblPrEx>
          <w:tblLayout w:type="fixed"/>
          <w:tblCellMar>
            <w:top w:w="0" w:type="dxa"/>
            <w:left w:w="108" w:type="dxa"/>
            <w:bottom w:w="0" w:type="dxa"/>
            <w:right w:w="108" w:type="dxa"/>
          </w:tblCellMar>
        </w:tblPrEx>
        <w:trPr>
          <w:trHeight w:val="175" w:hRule="atLeast"/>
          <w:jc w:val="center"/>
        </w:trPr>
        <w:tc>
          <w:tcPr>
            <w:tcW w:w="4101" w:type="dxa"/>
            <w:gridSpan w:val="2"/>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广西警察学院（仙湖校区）</w:t>
            </w:r>
          </w:p>
        </w:tc>
        <w:tc>
          <w:tcPr>
            <w:tcW w:w="1944" w:type="dxa"/>
            <w:gridSpan w:val="2"/>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3726" w:type="dxa"/>
            <w:gridSpan w:val="3"/>
            <w:tcBorders>
              <w:top w:val="nil"/>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专线设备</w:t>
            </w:r>
          </w:p>
        </w:tc>
        <w:tc>
          <w:tcPr>
            <w:tcW w:w="2340"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电压等级</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类型</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长度</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规划型号</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电源接入点</w:t>
            </w:r>
          </w:p>
        </w:tc>
        <w:tc>
          <w:tcPr>
            <w:tcW w:w="1394"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电源输出点</w:t>
            </w: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公线专变</w:t>
            </w:r>
          </w:p>
        </w:tc>
        <w:tc>
          <w:tcPr>
            <w:tcW w:w="2340"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10KV</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高供高计</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27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394"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285" w:hRule="atLeast"/>
          <w:jc w:val="center"/>
        </w:trPr>
        <w:tc>
          <w:tcPr>
            <w:tcW w:w="9771"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变配电房设备</w:t>
            </w: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电房编号</w:t>
            </w:r>
          </w:p>
        </w:tc>
        <w:tc>
          <w:tcPr>
            <w:tcW w:w="2340"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类型</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电压等级</w:t>
            </w:r>
          </w:p>
        </w:tc>
        <w:tc>
          <w:tcPr>
            <w:tcW w:w="2670" w:type="dxa"/>
            <w:gridSpan w:val="2"/>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285" w:hRule="atLeast"/>
          <w:jc w:val="center"/>
        </w:trPr>
        <w:tc>
          <w:tcPr>
            <w:tcW w:w="1761"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设备名称</w:t>
            </w:r>
          </w:p>
        </w:tc>
        <w:tc>
          <w:tcPr>
            <w:tcW w:w="2340"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单位</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数量</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规格型号</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容量</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备注</w:t>
            </w:r>
          </w:p>
        </w:tc>
      </w:tr>
      <w:tr>
        <w:tblPrEx>
          <w:tblLayout w:type="fixed"/>
          <w:tblCellMar>
            <w:top w:w="0" w:type="dxa"/>
            <w:left w:w="108" w:type="dxa"/>
            <w:bottom w:w="0" w:type="dxa"/>
            <w:right w:w="108" w:type="dxa"/>
          </w:tblCellMar>
        </w:tblPrEx>
        <w:trPr>
          <w:trHeight w:val="197" w:hRule="atLeast"/>
          <w:jc w:val="center"/>
        </w:trPr>
        <w:tc>
          <w:tcPr>
            <w:tcW w:w="17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变压器</w:t>
            </w:r>
          </w:p>
        </w:tc>
        <w:tc>
          <w:tcPr>
            <w:tcW w:w="2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台</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2</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干式/油式</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630KVA</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140" w:hRule="atLeast"/>
          <w:jc w:val="center"/>
        </w:trPr>
        <w:tc>
          <w:tcPr>
            <w:tcW w:w="1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2</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干式/油式</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800KVA</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164" w:hRule="atLeast"/>
          <w:jc w:val="center"/>
        </w:trPr>
        <w:tc>
          <w:tcPr>
            <w:tcW w:w="1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2</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干式/油式</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1000KVA</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92" w:hRule="atLeast"/>
          <w:jc w:val="center"/>
        </w:trPr>
        <w:tc>
          <w:tcPr>
            <w:tcW w:w="1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3</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干式/油式</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1250KVA</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高压柜</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35</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KYN</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r>
        <w:tblPrEx>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低压柜</w:t>
            </w:r>
          </w:p>
        </w:tc>
        <w:tc>
          <w:tcPr>
            <w:tcW w:w="2340"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45</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DDG/GCS</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r>
        <w:tblPrEx>
          <w:tblLayout w:type="fixed"/>
          <w:tblCellMar>
            <w:top w:w="0" w:type="dxa"/>
            <w:left w:w="108" w:type="dxa"/>
            <w:bottom w:w="0" w:type="dxa"/>
            <w:right w:w="108" w:type="dxa"/>
          </w:tblCellMar>
        </w:tblPrEx>
        <w:trPr>
          <w:trHeight w:val="211" w:hRule="atLeast"/>
          <w:jc w:val="center"/>
        </w:trPr>
        <w:tc>
          <w:tcPr>
            <w:tcW w:w="1761"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电容柜</w:t>
            </w:r>
          </w:p>
        </w:tc>
        <w:tc>
          <w:tcPr>
            <w:tcW w:w="2340"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9</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DDG/GCS</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r>
        <w:tblPrEx>
          <w:shd w:val="clear" w:color="auto" w:fill="auto"/>
          <w:tblLayout w:type="fixed"/>
          <w:tblCellMar>
            <w:top w:w="0" w:type="dxa"/>
            <w:left w:w="108" w:type="dxa"/>
            <w:bottom w:w="0" w:type="dxa"/>
            <w:right w:w="108" w:type="dxa"/>
          </w:tblCellMar>
        </w:tblPrEx>
        <w:trPr>
          <w:trHeight w:val="111"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直流屏</w:t>
            </w:r>
          </w:p>
        </w:tc>
        <w:tc>
          <w:tcPr>
            <w:tcW w:w="2340"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2</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285" w:hRule="atLeast"/>
          <w:jc w:val="center"/>
        </w:trPr>
        <w:tc>
          <w:tcPr>
            <w:tcW w:w="4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户名</w:t>
            </w:r>
          </w:p>
        </w:tc>
        <w:tc>
          <w:tcPr>
            <w:tcW w:w="1944" w:type="dxa"/>
            <w:gridSpan w:val="2"/>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户号</w:t>
            </w:r>
          </w:p>
        </w:tc>
        <w:tc>
          <w:tcPr>
            <w:tcW w:w="3726" w:type="dxa"/>
            <w:gridSpan w:val="3"/>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用电地址</w:t>
            </w:r>
          </w:p>
        </w:tc>
      </w:tr>
      <w:tr>
        <w:tblPrEx>
          <w:shd w:val="clear" w:color="auto" w:fill="auto"/>
          <w:tblLayout w:type="fixed"/>
          <w:tblCellMar>
            <w:top w:w="0" w:type="dxa"/>
            <w:left w:w="108" w:type="dxa"/>
            <w:bottom w:w="0" w:type="dxa"/>
            <w:right w:w="108" w:type="dxa"/>
          </w:tblCellMar>
        </w:tblPrEx>
        <w:trPr>
          <w:trHeight w:val="175" w:hRule="atLeast"/>
          <w:jc w:val="center"/>
        </w:trPr>
        <w:tc>
          <w:tcPr>
            <w:tcW w:w="4101" w:type="dxa"/>
            <w:gridSpan w:val="2"/>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广西警察学院（五合校区）</w:t>
            </w:r>
          </w:p>
        </w:tc>
        <w:tc>
          <w:tcPr>
            <w:tcW w:w="1944" w:type="dxa"/>
            <w:gridSpan w:val="2"/>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3726" w:type="dxa"/>
            <w:gridSpan w:val="3"/>
            <w:tcBorders>
              <w:top w:val="nil"/>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专线设备</w:t>
            </w:r>
          </w:p>
        </w:tc>
        <w:tc>
          <w:tcPr>
            <w:tcW w:w="2340"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电压等级</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类型</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长度</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规划型号</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电源接入点</w:t>
            </w:r>
          </w:p>
        </w:tc>
        <w:tc>
          <w:tcPr>
            <w:tcW w:w="1394"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电源输出点</w:t>
            </w:r>
          </w:p>
        </w:tc>
      </w:tr>
      <w:tr>
        <w:tblPrEx>
          <w:tblLayout w:type="fixed"/>
          <w:tblCellMar>
            <w:top w:w="0" w:type="dxa"/>
            <w:left w:w="108" w:type="dxa"/>
            <w:bottom w:w="0" w:type="dxa"/>
            <w:right w:w="108" w:type="dxa"/>
          </w:tblCellMar>
        </w:tblPrEx>
        <w:trPr>
          <w:trHeight w:val="285" w:hRule="atLeast"/>
          <w:jc w:val="center"/>
        </w:trPr>
        <w:tc>
          <w:tcPr>
            <w:tcW w:w="1761"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公线专变</w:t>
            </w:r>
          </w:p>
        </w:tc>
        <w:tc>
          <w:tcPr>
            <w:tcW w:w="2340"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10KV</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高供高计</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27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394"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285" w:hRule="atLeast"/>
          <w:jc w:val="center"/>
        </w:trPr>
        <w:tc>
          <w:tcPr>
            <w:tcW w:w="9771"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变配电房设备</w:t>
            </w:r>
          </w:p>
        </w:tc>
      </w:tr>
      <w:tr>
        <w:tblPrEx>
          <w:tblLayout w:type="fixed"/>
          <w:tblCellMar>
            <w:top w:w="0" w:type="dxa"/>
            <w:left w:w="108" w:type="dxa"/>
            <w:bottom w:w="0" w:type="dxa"/>
            <w:right w:w="108" w:type="dxa"/>
          </w:tblCellMar>
        </w:tblPrEx>
        <w:trPr>
          <w:trHeight w:val="285" w:hRule="atLeast"/>
          <w:jc w:val="center"/>
        </w:trPr>
        <w:tc>
          <w:tcPr>
            <w:tcW w:w="1761"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电房编号</w:t>
            </w:r>
          </w:p>
        </w:tc>
        <w:tc>
          <w:tcPr>
            <w:tcW w:w="2340"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类型</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电压等级</w:t>
            </w:r>
          </w:p>
        </w:tc>
        <w:tc>
          <w:tcPr>
            <w:tcW w:w="2670" w:type="dxa"/>
            <w:gridSpan w:val="2"/>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设备名称</w:t>
            </w:r>
          </w:p>
        </w:tc>
        <w:tc>
          <w:tcPr>
            <w:tcW w:w="2340"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单位</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数量</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规格型号</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容量</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备注</w:t>
            </w:r>
          </w:p>
        </w:tc>
      </w:tr>
      <w:tr>
        <w:tblPrEx>
          <w:tblLayout w:type="fixed"/>
          <w:tblCellMar>
            <w:top w:w="0" w:type="dxa"/>
            <w:left w:w="108" w:type="dxa"/>
            <w:bottom w:w="0" w:type="dxa"/>
            <w:right w:w="108" w:type="dxa"/>
          </w:tblCellMar>
        </w:tblPrEx>
        <w:trPr>
          <w:trHeight w:val="197" w:hRule="atLeast"/>
          <w:jc w:val="center"/>
        </w:trPr>
        <w:tc>
          <w:tcPr>
            <w:tcW w:w="17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变压器</w:t>
            </w:r>
          </w:p>
        </w:tc>
        <w:tc>
          <w:tcPr>
            <w:tcW w:w="2340" w:type="dxa"/>
            <w:vMerge w:val="restart"/>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台</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2</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干式/油式</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630KVA</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164" w:hRule="atLeast"/>
          <w:jc w:val="center"/>
        </w:trPr>
        <w:tc>
          <w:tcPr>
            <w:tcW w:w="1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2340" w:type="dxa"/>
            <w:vMerge w:val="continue"/>
            <w:tcBorders>
              <w:top w:val="single" w:color="auto" w:sz="4" w:space="0"/>
              <w:left w:val="nil"/>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干式/油式</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1000KVA</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158" w:hRule="atLeast"/>
          <w:jc w:val="center"/>
        </w:trPr>
        <w:tc>
          <w:tcPr>
            <w:tcW w:w="1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2340" w:type="dxa"/>
            <w:vMerge w:val="continue"/>
            <w:tcBorders>
              <w:top w:val="single" w:color="auto" w:sz="4" w:space="0"/>
              <w:left w:val="nil"/>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5</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干式/油式</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1250KVA</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高压柜</w:t>
            </w:r>
          </w:p>
        </w:tc>
        <w:tc>
          <w:tcPr>
            <w:tcW w:w="2340"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26</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KYN</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低压柜</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44</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DDG/GCS</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r>
        <w:tblPrEx>
          <w:shd w:val="clear" w:color="auto" w:fill="auto"/>
          <w:tblLayout w:type="fixed"/>
          <w:tblCellMar>
            <w:top w:w="0" w:type="dxa"/>
            <w:left w:w="108" w:type="dxa"/>
            <w:bottom w:w="0" w:type="dxa"/>
            <w:right w:w="108" w:type="dxa"/>
          </w:tblCellMar>
        </w:tblPrEx>
        <w:trPr>
          <w:trHeight w:val="176"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电容柜</w:t>
            </w:r>
          </w:p>
        </w:tc>
        <w:tc>
          <w:tcPr>
            <w:tcW w:w="2340"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8</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DDG/GCS</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r>
        <w:tblPrEx>
          <w:shd w:val="clear" w:color="auto" w:fill="auto"/>
          <w:tblLayout w:type="fixed"/>
          <w:tblCellMar>
            <w:top w:w="0" w:type="dxa"/>
            <w:left w:w="108" w:type="dxa"/>
            <w:bottom w:w="0" w:type="dxa"/>
            <w:right w:w="108" w:type="dxa"/>
          </w:tblCellMar>
        </w:tblPrEx>
        <w:trPr>
          <w:trHeight w:val="618" w:hRule="atLeast"/>
          <w:jc w:val="center"/>
        </w:trPr>
        <w:tc>
          <w:tcPr>
            <w:tcW w:w="1761"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直流屏</w:t>
            </w:r>
          </w:p>
        </w:tc>
        <w:tc>
          <w:tcPr>
            <w:tcW w:w="2340"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3</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285" w:hRule="atLeast"/>
          <w:jc w:val="center"/>
        </w:trPr>
        <w:tc>
          <w:tcPr>
            <w:tcW w:w="4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户名</w:t>
            </w:r>
          </w:p>
        </w:tc>
        <w:tc>
          <w:tcPr>
            <w:tcW w:w="1944" w:type="dxa"/>
            <w:gridSpan w:val="2"/>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户号</w:t>
            </w:r>
          </w:p>
        </w:tc>
        <w:tc>
          <w:tcPr>
            <w:tcW w:w="3726" w:type="dxa"/>
            <w:gridSpan w:val="3"/>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用电地址</w:t>
            </w:r>
          </w:p>
        </w:tc>
      </w:tr>
      <w:tr>
        <w:tblPrEx>
          <w:tblLayout w:type="fixed"/>
          <w:tblCellMar>
            <w:top w:w="0" w:type="dxa"/>
            <w:left w:w="108" w:type="dxa"/>
            <w:bottom w:w="0" w:type="dxa"/>
            <w:right w:w="108" w:type="dxa"/>
          </w:tblCellMar>
        </w:tblPrEx>
        <w:trPr>
          <w:trHeight w:val="175" w:hRule="atLeast"/>
          <w:jc w:val="center"/>
        </w:trPr>
        <w:tc>
          <w:tcPr>
            <w:tcW w:w="4101" w:type="dxa"/>
            <w:gridSpan w:val="2"/>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广西警察学院（长湖校区）</w:t>
            </w:r>
          </w:p>
        </w:tc>
        <w:tc>
          <w:tcPr>
            <w:tcW w:w="1944" w:type="dxa"/>
            <w:gridSpan w:val="2"/>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3726" w:type="dxa"/>
            <w:gridSpan w:val="3"/>
            <w:tcBorders>
              <w:top w:val="nil"/>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专线设备</w:t>
            </w:r>
          </w:p>
        </w:tc>
        <w:tc>
          <w:tcPr>
            <w:tcW w:w="2340"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电压等级</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类型</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长度</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规划型号</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电源接入点</w:t>
            </w:r>
          </w:p>
        </w:tc>
        <w:tc>
          <w:tcPr>
            <w:tcW w:w="1394"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电源输出点</w:t>
            </w:r>
          </w:p>
        </w:tc>
      </w:tr>
      <w:tr>
        <w:tblPrEx>
          <w:tblLayout w:type="fixed"/>
          <w:tblCellMar>
            <w:top w:w="0" w:type="dxa"/>
            <w:left w:w="108" w:type="dxa"/>
            <w:bottom w:w="0" w:type="dxa"/>
            <w:right w:w="108" w:type="dxa"/>
          </w:tblCellMar>
        </w:tblPrEx>
        <w:trPr>
          <w:trHeight w:val="285" w:hRule="atLeast"/>
          <w:jc w:val="center"/>
        </w:trPr>
        <w:tc>
          <w:tcPr>
            <w:tcW w:w="1761"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公线专变</w:t>
            </w:r>
          </w:p>
        </w:tc>
        <w:tc>
          <w:tcPr>
            <w:tcW w:w="2340"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10KV</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高供高计</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27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394"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285" w:hRule="atLeast"/>
          <w:jc w:val="center"/>
        </w:trPr>
        <w:tc>
          <w:tcPr>
            <w:tcW w:w="9771" w:type="dxa"/>
            <w:gridSpan w:val="7"/>
            <w:tcBorders>
              <w:top w:val="single" w:color="auto" w:sz="4" w:space="0"/>
              <w:left w:val="single" w:color="auto" w:sz="4" w:space="0"/>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变配电房设备</w:t>
            </w:r>
          </w:p>
        </w:tc>
      </w:tr>
      <w:tr>
        <w:tblPrEx>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电房编号</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类型</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电压等级</w:t>
            </w:r>
          </w:p>
        </w:tc>
        <w:tc>
          <w:tcPr>
            <w:tcW w:w="2670" w:type="dxa"/>
            <w:gridSpan w:val="2"/>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设备名称</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单位</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数量</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规格型号</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容量</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备注</w:t>
            </w:r>
          </w:p>
        </w:tc>
      </w:tr>
      <w:tr>
        <w:tblPrEx>
          <w:tblLayout w:type="fixed"/>
          <w:tblCellMar>
            <w:top w:w="0" w:type="dxa"/>
            <w:left w:w="108" w:type="dxa"/>
            <w:bottom w:w="0" w:type="dxa"/>
            <w:right w:w="108" w:type="dxa"/>
          </w:tblCellMar>
        </w:tblPrEx>
        <w:trPr>
          <w:trHeight w:val="197" w:hRule="atLeast"/>
          <w:jc w:val="center"/>
        </w:trPr>
        <w:tc>
          <w:tcPr>
            <w:tcW w:w="17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变压器</w:t>
            </w:r>
          </w:p>
        </w:tc>
        <w:tc>
          <w:tcPr>
            <w:tcW w:w="2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台</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干式/油式</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630KVA</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158" w:hRule="atLeast"/>
          <w:jc w:val="center"/>
        </w:trPr>
        <w:tc>
          <w:tcPr>
            <w:tcW w:w="17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left"/>
              <w:rPr>
                <w:rFonts w:ascii="宋体" w:hAnsi="宋体" w:cs="Tahoma"/>
                <w:kern w:val="0"/>
                <w:szCs w:val="21"/>
              </w:rPr>
            </w:pP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干式/油式</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1250KVA</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高压柜</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8</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KYN</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r>
        <w:tblPrEx>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低压柜</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12</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DDG/GCS</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r>
        <w:tblPrEx>
          <w:shd w:val="clear" w:color="auto" w:fill="auto"/>
          <w:tblLayout w:type="fixed"/>
          <w:tblCellMar>
            <w:top w:w="0" w:type="dxa"/>
            <w:left w:w="108" w:type="dxa"/>
            <w:bottom w:w="0" w:type="dxa"/>
            <w:right w:w="108" w:type="dxa"/>
          </w:tblCellMar>
        </w:tblPrEx>
        <w:trPr>
          <w:trHeight w:val="207"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电容柜</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2</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DDG/GCS</w:t>
            </w: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r>
        <w:tblPrEx>
          <w:shd w:val="clear" w:color="auto" w:fill="auto"/>
          <w:tblLayout w:type="fixed"/>
          <w:tblCellMar>
            <w:top w:w="0" w:type="dxa"/>
            <w:left w:w="108" w:type="dxa"/>
            <w:bottom w:w="0" w:type="dxa"/>
            <w:right w:w="108" w:type="dxa"/>
          </w:tblCellMar>
        </w:tblPrEx>
        <w:trPr>
          <w:trHeight w:val="285" w:hRule="atLeast"/>
          <w:jc w:val="center"/>
        </w:trPr>
        <w:tc>
          <w:tcPr>
            <w:tcW w:w="41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户名</w:t>
            </w:r>
          </w:p>
        </w:tc>
        <w:tc>
          <w:tcPr>
            <w:tcW w:w="1944" w:type="dxa"/>
            <w:gridSpan w:val="2"/>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户号</w:t>
            </w:r>
          </w:p>
        </w:tc>
        <w:tc>
          <w:tcPr>
            <w:tcW w:w="3726" w:type="dxa"/>
            <w:gridSpan w:val="3"/>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用电地址</w:t>
            </w:r>
          </w:p>
        </w:tc>
      </w:tr>
      <w:tr>
        <w:tblPrEx>
          <w:tblLayout w:type="fixed"/>
          <w:tblCellMar>
            <w:top w:w="0" w:type="dxa"/>
            <w:left w:w="108" w:type="dxa"/>
            <w:bottom w:w="0" w:type="dxa"/>
            <w:right w:w="108" w:type="dxa"/>
          </w:tblCellMar>
        </w:tblPrEx>
        <w:trPr>
          <w:trHeight w:val="175" w:hRule="atLeast"/>
          <w:jc w:val="center"/>
        </w:trPr>
        <w:tc>
          <w:tcPr>
            <w:tcW w:w="4101" w:type="dxa"/>
            <w:gridSpan w:val="2"/>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广西警察学院（东葛校区）</w:t>
            </w:r>
          </w:p>
        </w:tc>
        <w:tc>
          <w:tcPr>
            <w:tcW w:w="1944" w:type="dxa"/>
            <w:gridSpan w:val="2"/>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3726" w:type="dxa"/>
            <w:gridSpan w:val="3"/>
            <w:tcBorders>
              <w:top w:val="nil"/>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专线设备</w:t>
            </w:r>
          </w:p>
        </w:tc>
        <w:tc>
          <w:tcPr>
            <w:tcW w:w="2340"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电压等级</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类型</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长度</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规划型号</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电源接入点</w:t>
            </w:r>
          </w:p>
        </w:tc>
        <w:tc>
          <w:tcPr>
            <w:tcW w:w="1394"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电源输出点</w:t>
            </w: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公线专变</w:t>
            </w:r>
          </w:p>
        </w:tc>
        <w:tc>
          <w:tcPr>
            <w:tcW w:w="2340"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10KV</w:t>
            </w:r>
          </w:p>
        </w:tc>
        <w:tc>
          <w:tcPr>
            <w:tcW w:w="709"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高供高计</w:t>
            </w:r>
          </w:p>
        </w:tc>
        <w:tc>
          <w:tcPr>
            <w:tcW w:w="1235"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05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276"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394" w:type="dxa"/>
            <w:tcBorders>
              <w:top w:val="nil"/>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285" w:hRule="atLeast"/>
          <w:jc w:val="center"/>
        </w:trPr>
        <w:tc>
          <w:tcPr>
            <w:tcW w:w="977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变配电房设备</w:t>
            </w:r>
          </w:p>
        </w:tc>
      </w:tr>
      <w:tr>
        <w:tblPrEx>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电房编号</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类型</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电压等级</w:t>
            </w:r>
          </w:p>
        </w:tc>
        <w:tc>
          <w:tcPr>
            <w:tcW w:w="26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设备名称</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单位</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数量</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规格型号</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容量</w:t>
            </w:r>
          </w:p>
        </w:tc>
        <w:tc>
          <w:tcPr>
            <w:tcW w:w="26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备注</w:t>
            </w:r>
          </w:p>
        </w:tc>
      </w:tr>
      <w:tr>
        <w:tblPrEx>
          <w:tblLayout w:type="fixed"/>
          <w:tblCellMar>
            <w:top w:w="0" w:type="dxa"/>
            <w:left w:w="108" w:type="dxa"/>
            <w:bottom w:w="0" w:type="dxa"/>
            <w:right w:w="108" w:type="dxa"/>
          </w:tblCellMar>
        </w:tblPrEx>
        <w:trPr>
          <w:trHeight w:val="197"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变压器</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台</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干式/油式</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800KVA</w:t>
            </w:r>
          </w:p>
        </w:tc>
        <w:tc>
          <w:tcPr>
            <w:tcW w:w="26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高压柜</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4</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KYN</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p>
        </w:tc>
        <w:tc>
          <w:tcPr>
            <w:tcW w:w="26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r>
        <w:tblPrEx>
          <w:shd w:val="clear" w:color="auto" w:fill="auto"/>
          <w:tblLayout w:type="fixed"/>
          <w:tblCellMar>
            <w:top w:w="0" w:type="dxa"/>
            <w:left w:w="108" w:type="dxa"/>
            <w:bottom w:w="0" w:type="dxa"/>
            <w:right w:w="108" w:type="dxa"/>
          </w:tblCellMar>
        </w:tblPrEx>
        <w:trPr>
          <w:trHeight w:val="285"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低压柜</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4</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DDG/GCS</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c>
          <w:tcPr>
            <w:tcW w:w="26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r>
        <w:tblPrEx>
          <w:tblLayout w:type="fixed"/>
          <w:tblCellMar>
            <w:top w:w="0" w:type="dxa"/>
            <w:left w:w="108" w:type="dxa"/>
            <w:bottom w:w="0" w:type="dxa"/>
            <w:right w:w="108" w:type="dxa"/>
          </w:tblCellMar>
        </w:tblPrEx>
        <w:trPr>
          <w:trHeight w:val="207" w:hRule="atLeast"/>
          <w:jc w:val="center"/>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电容柜</w:t>
            </w:r>
          </w:p>
        </w:tc>
        <w:tc>
          <w:tcPr>
            <w:tcW w:w="2340"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面</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1</w:t>
            </w:r>
          </w:p>
        </w:tc>
        <w:tc>
          <w:tcPr>
            <w:tcW w:w="1235"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DDG/GCS</w:t>
            </w:r>
          </w:p>
        </w:tc>
        <w:tc>
          <w:tcPr>
            <w:tcW w:w="1056" w:type="dxa"/>
            <w:tcBorders>
              <w:top w:val="single" w:color="auto" w:sz="4" w:space="0"/>
              <w:left w:val="nil"/>
              <w:bottom w:val="single" w:color="auto" w:sz="4" w:space="0"/>
              <w:right w:val="single" w:color="auto"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c>
          <w:tcPr>
            <w:tcW w:w="2670" w:type="dxa"/>
            <w:gridSpan w:val="2"/>
            <w:tcBorders>
              <w:top w:val="single" w:color="auto" w:sz="4" w:space="0"/>
              <w:left w:val="nil"/>
              <w:bottom w:val="single" w:color="auto" w:sz="4" w:space="0"/>
              <w:right w:val="single" w:color="000000" w:sz="4" w:space="0"/>
            </w:tcBorders>
            <w:shd w:val="clear" w:color="auto" w:fill="auto"/>
            <w:vAlign w:val="center"/>
          </w:tcPr>
          <w:p>
            <w:pPr>
              <w:widowControl/>
              <w:shd w:val="clear"/>
              <w:jc w:val="center"/>
              <w:rPr>
                <w:rFonts w:ascii="宋体" w:hAnsi="宋体" w:cs="Tahoma"/>
                <w:kern w:val="0"/>
                <w:szCs w:val="21"/>
              </w:rPr>
            </w:pPr>
            <w:r>
              <w:rPr>
                <w:rFonts w:hint="eastAsia" w:ascii="宋体" w:hAnsi="宋体" w:cs="Tahoma"/>
                <w:kern w:val="0"/>
              </w:rPr>
              <w:t>　</w:t>
            </w:r>
          </w:p>
        </w:tc>
      </w:tr>
    </w:tbl>
    <w:p>
      <w:pPr>
        <w:shd w:val="clear"/>
        <w:spacing w:line="560" w:lineRule="exact"/>
        <w:ind w:firstLine="643" w:firstLineChars="200"/>
        <w:jc w:val="left"/>
        <w:rPr>
          <w:rFonts w:hint="eastAsia" w:ascii="仿宋_GB2312" w:hAnsi="宋体" w:eastAsia="仿宋_GB2312"/>
          <w:b/>
          <w:bCs/>
          <w:sz w:val="32"/>
          <w:szCs w:val="32"/>
        </w:rPr>
      </w:pPr>
    </w:p>
    <w:p>
      <w:pPr>
        <w:shd w:val="clear"/>
        <w:spacing w:line="560" w:lineRule="exact"/>
        <w:ind w:firstLine="643" w:firstLineChars="200"/>
        <w:jc w:val="left"/>
        <w:rPr>
          <w:rFonts w:hint="eastAsia" w:ascii="仿宋_GB2312" w:hAnsi="宋体" w:eastAsia="仿宋_GB2312"/>
          <w:sz w:val="32"/>
          <w:szCs w:val="32"/>
        </w:rPr>
      </w:pPr>
      <w:r>
        <w:rPr>
          <w:rFonts w:hint="eastAsia" w:ascii="仿宋_GB2312" w:hAnsi="宋体" w:eastAsia="仿宋_GB2312"/>
          <w:b/>
          <w:bCs/>
          <w:sz w:val="32"/>
          <w:szCs w:val="32"/>
        </w:rPr>
        <w:t>第</w:t>
      </w:r>
      <w:r>
        <w:rPr>
          <w:rFonts w:hint="eastAsia" w:ascii="仿宋_GB2312" w:hAnsi="宋体" w:eastAsia="仿宋_GB2312"/>
          <w:b/>
          <w:bCs/>
          <w:sz w:val="32"/>
          <w:szCs w:val="32"/>
          <w:lang w:val="en-US" w:eastAsia="zh-CN"/>
        </w:rPr>
        <w:t>四</w:t>
      </w:r>
      <w:r>
        <w:rPr>
          <w:rFonts w:hint="eastAsia" w:ascii="仿宋_GB2312" w:hAnsi="宋体" w:eastAsia="仿宋_GB2312"/>
          <w:b/>
          <w:bCs/>
          <w:sz w:val="32"/>
          <w:szCs w:val="32"/>
        </w:rPr>
        <w:t>条</w:t>
      </w:r>
      <w:r>
        <w:rPr>
          <w:rFonts w:hint="eastAsia" w:ascii="仿宋_GB2312" w:hAnsi="宋体" w:eastAsia="仿宋_GB2312"/>
          <w:b/>
          <w:bCs/>
          <w:sz w:val="32"/>
          <w:szCs w:val="32"/>
          <w:lang w:val="en-US" w:eastAsia="zh-CN"/>
        </w:rPr>
        <w:t xml:space="preserve"> 合同期限：</w:t>
      </w:r>
      <w:r>
        <w:rPr>
          <w:rFonts w:hint="eastAsia" w:ascii="仿宋_GB2312" w:hAnsi="宋体" w:eastAsia="仿宋_GB2312"/>
          <w:sz w:val="32"/>
          <w:szCs w:val="32"/>
        </w:rPr>
        <w:t>本合同期限自</w:t>
      </w:r>
      <w:r>
        <w:rPr>
          <w:rFonts w:hint="eastAsia" w:ascii="仿宋_GB2312" w:hAnsi="宋体" w:eastAsia="仿宋_GB2312"/>
          <w:sz w:val="32"/>
          <w:szCs w:val="32"/>
          <w:u w:val="single"/>
        </w:rPr>
        <w:t xml:space="preserve">    </w:t>
      </w:r>
      <w:r>
        <w:rPr>
          <w:rFonts w:hint="eastAsia" w:ascii="仿宋_GB2312" w:hAnsi="宋体" w:eastAsia="仿宋_GB2312"/>
          <w:sz w:val="32"/>
          <w:szCs w:val="32"/>
        </w:rPr>
        <w:t xml:space="preserve">年 </w:t>
      </w:r>
      <w:r>
        <w:rPr>
          <w:rFonts w:hint="eastAsia" w:ascii="仿宋_GB2312" w:hAnsi="宋体" w:eastAsia="仿宋_GB2312"/>
          <w:sz w:val="32"/>
          <w:szCs w:val="32"/>
          <w:u w:val="single"/>
        </w:rPr>
        <w:t xml:space="preserve">  </w:t>
      </w:r>
      <w:r>
        <w:rPr>
          <w:rFonts w:hint="eastAsia" w:ascii="仿宋_GB2312" w:hAnsi="宋体" w:eastAsia="仿宋_GB2312"/>
          <w:sz w:val="32"/>
          <w:szCs w:val="32"/>
        </w:rPr>
        <w:t xml:space="preserve">月 </w:t>
      </w:r>
      <w:r>
        <w:rPr>
          <w:rFonts w:hint="eastAsia" w:ascii="仿宋_GB2312" w:hAnsi="宋体" w:eastAsia="仿宋_GB2312"/>
          <w:sz w:val="32"/>
          <w:szCs w:val="32"/>
          <w:u w:val="single"/>
        </w:rPr>
        <w:t xml:space="preserve">  </w:t>
      </w:r>
      <w:r>
        <w:rPr>
          <w:rFonts w:hint="eastAsia" w:ascii="仿宋_GB2312" w:hAnsi="宋体" w:eastAsia="仿宋_GB2312"/>
          <w:sz w:val="32"/>
          <w:szCs w:val="32"/>
        </w:rPr>
        <w:t xml:space="preserve">日起至 </w:t>
      </w:r>
      <w:r>
        <w:rPr>
          <w:rFonts w:hint="eastAsia" w:ascii="仿宋_GB2312" w:hAnsi="宋体" w:eastAsia="仿宋_GB2312"/>
          <w:sz w:val="32"/>
          <w:szCs w:val="32"/>
          <w:u w:val="single"/>
        </w:rPr>
        <w:t xml:space="preserve">   </w:t>
      </w:r>
      <w:r>
        <w:rPr>
          <w:rFonts w:hint="eastAsia" w:ascii="仿宋_GB2312" w:hAnsi="宋体" w:eastAsia="仿宋_GB2312"/>
          <w:sz w:val="32"/>
          <w:szCs w:val="32"/>
        </w:rPr>
        <w:t xml:space="preserve"> 年</w:t>
      </w:r>
      <w:r>
        <w:rPr>
          <w:rFonts w:hint="eastAsia" w:ascii="仿宋_GB2312" w:hAnsi="宋体" w:eastAsia="仿宋_GB2312"/>
          <w:sz w:val="32"/>
          <w:szCs w:val="32"/>
          <w:u w:val="single"/>
        </w:rPr>
        <w:t xml:space="preserve">  </w:t>
      </w:r>
      <w:r>
        <w:rPr>
          <w:rFonts w:hint="eastAsia" w:ascii="仿宋_GB2312" w:hAnsi="宋体" w:eastAsia="仿宋_GB2312"/>
          <w:sz w:val="32"/>
          <w:szCs w:val="32"/>
        </w:rPr>
        <w:t>月</w:t>
      </w:r>
      <w:r>
        <w:rPr>
          <w:rFonts w:hint="eastAsia" w:ascii="仿宋_GB2312" w:hAnsi="宋体" w:eastAsia="仿宋_GB2312"/>
          <w:sz w:val="32"/>
          <w:szCs w:val="32"/>
          <w:u w:val="single"/>
        </w:rPr>
        <w:t xml:space="preserve">  </w:t>
      </w:r>
      <w:r>
        <w:rPr>
          <w:rFonts w:hint="eastAsia" w:ascii="仿宋_GB2312" w:hAnsi="宋体" w:eastAsia="仿宋_GB2312"/>
          <w:sz w:val="32"/>
          <w:szCs w:val="32"/>
        </w:rPr>
        <w:t xml:space="preserve">日止，合计 </w:t>
      </w:r>
      <w:r>
        <w:rPr>
          <w:rFonts w:hint="eastAsia" w:ascii="仿宋_GB2312" w:hAnsi="宋体" w:eastAsia="仿宋_GB2312"/>
          <w:sz w:val="32"/>
          <w:szCs w:val="32"/>
          <w:u w:val="single"/>
        </w:rPr>
        <w:t xml:space="preserve"> </w:t>
      </w:r>
      <w:r>
        <w:rPr>
          <w:rFonts w:hint="eastAsia" w:ascii="仿宋_GB2312" w:hAnsi="宋体" w:eastAsia="仿宋_GB2312"/>
          <w:b/>
          <w:bCs/>
          <w:sz w:val="32"/>
          <w:szCs w:val="32"/>
          <w:u w:val="single"/>
          <w:lang w:val="en-US" w:eastAsia="zh-CN"/>
        </w:rPr>
        <w:t>两</w:t>
      </w:r>
      <w:r>
        <w:rPr>
          <w:rFonts w:hint="eastAsia" w:ascii="仿宋_GB2312" w:hAnsi="宋体" w:eastAsia="仿宋_GB2312"/>
          <w:sz w:val="32"/>
          <w:szCs w:val="32"/>
          <w:u w:val="single"/>
        </w:rPr>
        <w:t xml:space="preserve"> </w:t>
      </w:r>
      <w:r>
        <w:rPr>
          <w:rFonts w:hint="eastAsia" w:ascii="仿宋_GB2312" w:hAnsi="宋体" w:eastAsia="仿宋_GB2312"/>
          <w:sz w:val="32"/>
          <w:szCs w:val="32"/>
        </w:rPr>
        <w:t xml:space="preserve"> 年。</w:t>
      </w:r>
    </w:p>
    <w:p>
      <w:pPr>
        <w:shd w:val="clear"/>
        <w:ind w:firstLine="643" w:firstLineChars="200"/>
        <w:outlineLvl w:val="0"/>
        <w:rPr>
          <w:rFonts w:hint="eastAsia" w:ascii="仿宋_GB2312" w:eastAsia="仿宋_GB2312"/>
          <w:b/>
          <w:sz w:val="32"/>
          <w:szCs w:val="32"/>
        </w:rPr>
      </w:pPr>
      <w:r>
        <w:rPr>
          <w:rFonts w:hint="eastAsia" w:ascii="仿宋_GB2312" w:eastAsia="仿宋_GB2312"/>
          <w:b/>
          <w:bCs/>
          <w:sz w:val="32"/>
          <w:szCs w:val="32"/>
        </w:rPr>
        <w:t>第</w:t>
      </w:r>
      <w:r>
        <w:rPr>
          <w:rFonts w:hint="eastAsia" w:ascii="仿宋_GB2312" w:eastAsia="仿宋_GB2312"/>
          <w:b/>
          <w:bCs/>
          <w:sz w:val="32"/>
          <w:szCs w:val="32"/>
          <w:lang w:val="en-US" w:eastAsia="zh-CN"/>
        </w:rPr>
        <w:t>五</w:t>
      </w:r>
      <w:r>
        <w:rPr>
          <w:rFonts w:hint="eastAsia" w:ascii="仿宋_GB2312" w:eastAsia="仿宋_GB2312"/>
          <w:b/>
          <w:bCs/>
          <w:sz w:val="32"/>
          <w:szCs w:val="32"/>
        </w:rPr>
        <w:t xml:space="preserve">条  </w:t>
      </w:r>
      <w:r>
        <w:rPr>
          <w:rFonts w:hint="eastAsia" w:ascii="仿宋_GB2312" w:hAnsi="宋体" w:eastAsia="仿宋_GB2312"/>
          <w:b/>
          <w:bCs/>
          <w:sz w:val="32"/>
          <w:szCs w:val="32"/>
        </w:rPr>
        <w:t>甲方的权利和义务：</w:t>
      </w:r>
    </w:p>
    <w:p>
      <w:pPr>
        <w:shd w:val="clear"/>
        <w:ind w:firstLine="640" w:firstLineChars="200"/>
        <w:rPr>
          <w:rFonts w:hint="eastAsia" w:ascii="仿宋_GB2312" w:eastAsia="仿宋_GB2312"/>
          <w:sz w:val="32"/>
          <w:szCs w:val="32"/>
        </w:rPr>
      </w:pPr>
      <w:r>
        <w:rPr>
          <w:rFonts w:hint="eastAsia" w:ascii="仿宋_GB2312" w:hAnsi="宋体" w:eastAsia="仿宋_GB2312"/>
          <w:sz w:val="32"/>
          <w:szCs w:val="32"/>
        </w:rPr>
        <w:t>1.对乙方的配电能效运维服务有监督检查权，实施监督检查，但不妨碍乙方依本合同规定开展管理工作。</w:t>
      </w:r>
    </w:p>
    <w:p>
      <w:pPr>
        <w:shd w:val="clear"/>
        <w:ind w:firstLine="640" w:firstLineChars="200"/>
        <w:rPr>
          <w:rFonts w:hint="eastAsia" w:ascii="仿宋_GB2312" w:eastAsia="仿宋_GB2312"/>
          <w:sz w:val="32"/>
          <w:szCs w:val="32"/>
        </w:rPr>
      </w:pPr>
      <w:r>
        <w:rPr>
          <w:rFonts w:hint="eastAsia" w:ascii="仿宋_GB2312" w:hAnsi="宋体" w:eastAsia="仿宋_GB2312"/>
          <w:sz w:val="32"/>
          <w:szCs w:val="32"/>
        </w:rPr>
        <w:t>2.按本合同规定的时间、金额和方式支付服务报酬给乙方。</w:t>
      </w:r>
    </w:p>
    <w:p>
      <w:pPr>
        <w:shd w:val="clear"/>
        <w:spacing w:before="156"/>
        <w:ind w:firstLine="640" w:firstLineChars="200"/>
        <w:rPr>
          <w:rFonts w:hint="eastAsia" w:ascii="仿宋_GB2312" w:eastAsia="仿宋_GB2312"/>
          <w:sz w:val="32"/>
          <w:szCs w:val="32"/>
        </w:rPr>
      </w:pPr>
      <w:r>
        <w:rPr>
          <w:rFonts w:hint="eastAsia" w:ascii="仿宋_GB2312" w:hAnsi="宋体" w:eastAsia="仿宋_GB2312"/>
          <w:sz w:val="32"/>
          <w:szCs w:val="32"/>
        </w:rPr>
        <w:t>3.负责处理非乙方原因而产生的可能或实际影响乙方开展配电能效运维服务的各种纠纷。</w:t>
      </w:r>
    </w:p>
    <w:p>
      <w:pPr>
        <w:shd w:val="clear"/>
        <w:ind w:firstLine="640" w:firstLineChars="200"/>
        <w:rPr>
          <w:rFonts w:hint="eastAsia" w:ascii="仿宋_GB2312" w:eastAsia="仿宋_GB2312"/>
          <w:sz w:val="32"/>
          <w:szCs w:val="32"/>
        </w:rPr>
      </w:pPr>
      <w:r>
        <w:rPr>
          <w:rFonts w:hint="eastAsia" w:ascii="仿宋_GB2312" w:hAnsi="宋体" w:eastAsia="仿宋_GB2312"/>
          <w:sz w:val="32"/>
          <w:szCs w:val="32"/>
        </w:rPr>
        <w:t>4.按照有关电力法规、政策和规程，正确、安全用电。</w:t>
      </w:r>
    </w:p>
    <w:p>
      <w:pPr>
        <w:shd w:val="clear"/>
        <w:ind w:firstLine="640" w:firstLineChars="200"/>
        <w:rPr>
          <w:rFonts w:hint="eastAsia" w:ascii="仿宋_GB2312" w:hAnsi="宋体" w:eastAsia="仿宋_GB2312"/>
          <w:sz w:val="32"/>
          <w:szCs w:val="32"/>
        </w:rPr>
      </w:pPr>
      <w:r>
        <w:rPr>
          <w:rFonts w:hint="eastAsia" w:ascii="仿宋_GB2312" w:hAnsi="宋体" w:eastAsia="仿宋_GB2312"/>
          <w:sz w:val="32"/>
          <w:szCs w:val="32"/>
        </w:rPr>
        <w:t>5.甲方具有电气操作资质的电工，可以对本合同服务范围内的电柜出线开关进行停、送电操作，操作前必须由该电工告知乙方服务小组人员，若需要委托乙方对其电气设备进行倒闸操作，必须出示相关委托证明，明确对乙方进行操作委托，在乙方操作过程中由于设备老化或缺陷等而非乙方操作不当的原因导致电气设备损坏，责任由甲方承担。</w:t>
      </w:r>
    </w:p>
    <w:p>
      <w:pPr>
        <w:shd w:val="clear"/>
        <w:ind w:firstLine="640" w:firstLineChars="200"/>
        <w:rPr>
          <w:rFonts w:hint="eastAsia" w:ascii="仿宋_GB2312" w:eastAsia="仿宋_GB2312"/>
          <w:sz w:val="32"/>
          <w:szCs w:val="32"/>
        </w:rPr>
      </w:pPr>
      <w:r>
        <w:rPr>
          <w:rFonts w:hint="eastAsia" w:ascii="仿宋_GB2312" w:hAnsi="宋体" w:eastAsia="仿宋_GB2312"/>
          <w:sz w:val="32"/>
          <w:szCs w:val="32"/>
        </w:rPr>
        <w:t>6.甲方拟对合同服务范围内的电气设备设施进行改建、扩建等有可能影响电气设备设施正常运行的行为前，必须告知乙方。</w:t>
      </w:r>
    </w:p>
    <w:p>
      <w:pPr>
        <w:shd w:val="clear"/>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.甲方承诺积极协调并负责解决乙方正常实施配电能效运维服务工作过程中出现的外界干扰或阻碍因素。</w:t>
      </w:r>
    </w:p>
    <w:p>
      <w:pPr>
        <w:shd w:val="clear"/>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8</w:t>
      </w:r>
      <w:r>
        <w:rPr>
          <w:rFonts w:hint="eastAsia" w:ascii="仿宋_GB2312" w:hAnsi="宋体" w:eastAsia="仿宋_GB2312"/>
          <w:sz w:val="32"/>
          <w:szCs w:val="32"/>
        </w:rPr>
        <w:t>.发现电气设备突发性故障或安全隐患应及时联系乙方，若甲方自行操作电气设备出现安全事故，责任由甲方承担。</w:t>
      </w:r>
    </w:p>
    <w:p>
      <w:pPr>
        <w:shd w:val="clear"/>
        <w:ind w:firstLine="640" w:firstLineChars="200"/>
        <w:rPr>
          <w:rFonts w:hint="eastAsia" w:ascii="仿宋_GB2312" w:eastAsia="仿宋_GB2312"/>
          <w:sz w:val="32"/>
          <w:szCs w:val="32"/>
        </w:rPr>
      </w:pPr>
      <w:r>
        <w:rPr>
          <w:rFonts w:hint="eastAsia" w:ascii="仿宋_GB2312" w:hAnsi="宋体" w:eastAsia="仿宋_GB2312"/>
          <w:sz w:val="32"/>
          <w:szCs w:val="32"/>
          <w:lang w:val="en-US" w:eastAsia="zh-CN"/>
        </w:rPr>
        <w:t>9</w:t>
      </w:r>
      <w:r>
        <w:rPr>
          <w:rFonts w:hint="eastAsia" w:ascii="仿宋_GB2312" w:hAnsi="宋体" w:eastAsia="仿宋_GB2312"/>
          <w:sz w:val="32"/>
          <w:szCs w:val="32"/>
        </w:rPr>
        <w:t>.甲方需严格按照电气设备使用说明书使用设备，否者导致设备的损坏由甲方负责。</w:t>
      </w:r>
    </w:p>
    <w:p>
      <w:pPr>
        <w:shd w:val="clear"/>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10</w:t>
      </w:r>
      <w:r>
        <w:rPr>
          <w:rFonts w:hint="eastAsia" w:ascii="仿宋_GB2312" w:hAnsi="宋体" w:eastAsia="仿宋_GB2312"/>
          <w:sz w:val="32"/>
          <w:szCs w:val="32"/>
        </w:rPr>
        <w:t>.法规、政策规定由甲方承担的其他责任。</w:t>
      </w:r>
    </w:p>
    <w:p>
      <w:pPr>
        <w:shd w:val="clear"/>
        <w:ind w:firstLine="643" w:firstLineChars="200"/>
        <w:rPr>
          <w:rFonts w:hint="eastAsia" w:ascii="仿宋_GB2312" w:eastAsia="仿宋_GB2312"/>
          <w:b/>
          <w:bCs/>
          <w:sz w:val="32"/>
          <w:szCs w:val="32"/>
        </w:rPr>
      </w:pPr>
    </w:p>
    <w:p>
      <w:pPr>
        <w:shd w:val="clear"/>
        <w:ind w:firstLine="643" w:firstLineChars="200"/>
        <w:rPr>
          <w:rFonts w:hint="eastAsia" w:ascii="仿宋_GB2312" w:eastAsia="仿宋_GB2312"/>
          <w:b/>
          <w:bCs/>
          <w:sz w:val="32"/>
          <w:szCs w:val="32"/>
        </w:rPr>
      </w:pPr>
      <w:r>
        <w:rPr>
          <w:rFonts w:hint="eastAsia" w:ascii="仿宋_GB2312" w:eastAsia="仿宋_GB2312"/>
          <w:b/>
          <w:bCs/>
          <w:sz w:val="32"/>
          <w:szCs w:val="32"/>
        </w:rPr>
        <w:t>第</w:t>
      </w:r>
      <w:r>
        <w:rPr>
          <w:rFonts w:hint="eastAsia" w:ascii="仿宋_GB2312" w:eastAsia="仿宋_GB2312"/>
          <w:b/>
          <w:bCs/>
          <w:sz w:val="32"/>
          <w:szCs w:val="32"/>
          <w:lang w:val="en-US" w:eastAsia="zh-CN"/>
        </w:rPr>
        <w:t>六</w:t>
      </w:r>
      <w:r>
        <w:rPr>
          <w:rFonts w:hint="eastAsia" w:ascii="仿宋_GB2312" w:eastAsia="仿宋_GB2312"/>
          <w:b/>
          <w:bCs/>
          <w:sz w:val="32"/>
          <w:szCs w:val="32"/>
        </w:rPr>
        <w:t>条 乙方的权利和义务：</w:t>
      </w:r>
    </w:p>
    <w:p>
      <w:pPr>
        <w:shd w:val="clear"/>
        <w:ind w:firstLine="640" w:firstLineChars="200"/>
        <w:rPr>
          <w:rFonts w:hint="eastAsia" w:ascii="仿宋_GB2312" w:eastAsia="仿宋_GB2312"/>
          <w:sz w:val="32"/>
          <w:szCs w:val="32"/>
        </w:rPr>
      </w:pPr>
      <w:r>
        <w:rPr>
          <w:rFonts w:hint="eastAsia" w:ascii="仿宋_GB2312" w:eastAsia="仿宋_GB2312"/>
          <w:sz w:val="32"/>
          <w:szCs w:val="32"/>
        </w:rPr>
        <w:t>1.乙方在实施配电能效运维服务过程中应注意甲方设备安全和乙方员工的人身安全。乙方承担其所属员工的人身安全责任（本合同第七条第7点的情况除外）。</w:t>
      </w:r>
    </w:p>
    <w:p>
      <w:pPr>
        <w:shd w:val="clear"/>
        <w:ind w:firstLine="640" w:firstLineChars="200"/>
        <w:rPr>
          <w:rFonts w:hint="eastAsia" w:ascii="仿宋_GB2312" w:eastAsia="仿宋_GB2312"/>
          <w:sz w:val="32"/>
          <w:szCs w:val="32"/>
        </w:rPr>
      </w:pPr>
      <w:r>
        <w:rPr>
          <w:rFonts w:hint="eastAsia" w:ascii="仿宋_GB2312" w:eastAsia="仿宋_GB2312"/>
          <w:sz w:val="32"/>
          <w:szCs w:val="32"/>
        </w:rPr>
        <w:t>2.不得擅自改变本合同服务范围内的甲方设备使用功能，甲方同意的除外。</w:t>
      </w:r>
    </w:p>
    <w:p>
      <w:pPr>
        <w:shd w:val="clear"/>
        <w:ind w:firstLine="640" w:firstLineChars="200"/>
        <w:rPr>
          <w:rFonts w:hint="eastAsia" w:ascii="仿宋_GB2312" w:eastAsia="仿宋_GB2312"/>
          <w:sz w:val="32"/>
          <w:szCs w:val="32"/>
        </w:rPr>
      </w:pPr>
      <w:r>
        <w:rPr>
          <w:rFonts w:hint="eastAsia" w:ascii="仿宋_GB2312" w:eastAsia="仿宋_GB2312"/>
          <w:sz w:val="32"/>
          <w:szCs w:val="32"/>
        </w:rPr>
        <w:t>3.完成服务内容，并依据本合同的规定收取服务报酬。</w:t>
      </w:r>
    </w:p>
    <w:p>
      <w:pPr>
        <w:shd w:val="clear"/>
        <w:ind w:firstLine="640" w:firstLineChars="200"/>
        <w:rPr>
          <w:rFonts w:hint="eastAsia" w:ascii="仿宋_GB2312" w:eastAsia="仿宋_GB2312"/>
          <w:sz w:val="32"/>
          <w:szCs w:val="32"/>
        </w:rPr>
      </w:pPr>
      <w:r>
        <w:rPr>
          <w:rFonts w:hint="eastAsia" w:ascii="仿宋_GB2312" w:eastAsia="仿宋_GB2312"/>
          <w:sz w:val="32"/>
          <w:szCs w:val="32"/>
        </w:rPr>
        <w:t>4.根据有关法律、法规、政策和本合同的规定，自主开展配电能效运维服务。就能效运维服务工作做好数据记录，建立甲方专属的配电设备安全运维档案、能效分析档案，并每月、每季度、每年度向甲方提交能效运行分析报告。</w:t>
      </w:r>
    </w:p>
    <w:p>
      <w:pPr>
        <w:shd w:val="clear"/>
        <w:ind w:firstLine="640" w:firstLineChars="200"/>
        <w:rPr>
          <w:rFonts w:hint="eastAsia" w:ascii="仿宋_GB2312" w:eastAsia="仿宋_GB2312"/>
          <w:sz w:val="32"/>
          <w:szCs w:val="32"/>
        </w:rPr>
      </w:pPr>
      <w:r>
        <w:rPr>
          <w:rFonts w:hint="eastAsia" w:ascii="仿宋_GB2312" w:eastAsia="仿宋_GB2312"/>
          <w:sz w:val="32"/>
          <w:szCs w:val="32"/>
        </w:rPr>
        <w:t>5.对于在本合同内第三条配电能效运维服务内容中有选择“高压设备周期预防性试验服务”项目的合同，乙方按照国家要求，为服务范围内高压安全工具进行周期性预防性试验。</w:t>
      </w:r>
    </w:p>
    <w:p>
      <w:pPr>
        <w:shd w:val="clear"/>
        <w:ind w:firstLine="640" w:firstLineChars="200"/>
        <w:rPr>
          <w:rFonts w:hint="eastAsia" w:ascii="仿宋_GB2312" w:eastAsia="仿宋_GB2312"/>
          <w:sz w:val="32"/>
          <w:szCs w:val="32"/>
        </w:rPr>
      </w:pPr>
      <w:r>
        <w:rPr>
          <w:rFonts w:hint="eastAsia" w:ascii="仿宋_GB2312" w:eastAsia="仿宋_GB2312"/>
          <w:sz w:val="32"/>
          <w:szCs w:val="32"/>
        </w:rPr>
        <w:t>6.对于在本合同内第三条配电能效运维服务内容中有选择“配电房能效技术分析服务/能效提升技术改造保障服务”项目的合同，乙方免费为甲方提供配电能效运行技术分析服务；免人工费为甲方实施配电能效提升技术改造保障服务。</w:t>
      </w:r>
    </w:p>
    <w:p>
      <w:pPr>
        <w:shd w:val="clear"/>
        <w:ind w:firstLine="640" w:firstLineChars="200"/>
        <w:rPr>
          <w:rFonts w:hint="eastAsia" w:ascii="仿宋_GB2312" w:eastAsia="仿宋_GB2312"/>
          <w:sz w:val="32"/>
          <w:szCs w:val="32"/>
        </w:rPr>
      </w:pPr>
      <w:r>
        <w:rPr>
          <w:rFonts w:hint="eastAsia" w:ascii="仿宋_GB2312" w:eastAsia="仿宋_GB2312"/>
          <w:sz w:val="32"/>
          <w:szCs w:val="32"/>
        </w:rPr>
        <w:t>7.本条上述第5、6两小点，免费服务项目内容所涉及的土建费用均由甲方负责；所需要的材料均由甲方负责提供。</w:t>
      </w:r>
    </w:p>
    <w:p>
      <w:pPr>
        <w:shd w:val="clear"/>
        <w:ind w:firstLine="640" w:firstLineChars="200"/>
        <w:rPr>
          <w:rFonts w:hint="eastAsia" w:ascii="仿宋_GB2312" w:eastAsia="仿宋_GB2312"/>
          <w:sz w:val="32"/>
          <w:szCs w:val="32"/>
        </w:rPr>
      </w:pPr>
      <w:r>
        <w:rPr>
          <w:rFonts w:hint="eastAsia" w:ascii="仿宋_GB2312" w:eastAsia="仿宋_GB2312"/>
          <w:sz w:val="32"/>
          <w:szCs w:val="32"/>
        </w:rPr>
        <w:t>8.</w:t>
      </w:r>
      <w:r>
        <w:rPr>
          <w:rFonts w:hint="eastAsia" w:ascii="仿宋_GB2312" w:eastAsia="仿宋_GB2312"/>
          <w:sz w:val="32"/>
          <w:szCs w:val="32"/>
          <w:lang w:eastAsia="zh-CN"/>
        </w:rPr>
        <w:t>电力</w:t>
      </w:r>
      <w:r>
        <w:rPr>
          <w:rFonts w:hint="eastAsia" w:ascii="仿宋_GB2312" w:eastAsia="仿宋_GB2312"/>
          <w:sz w:val="32"/>
          <w:szCs w:val="32"/>
        </w:rPr>
        <w:t>监测的硬件（包含监测表、DTU、安装辅材等），</w:t>
      </w:r>
      <w:r>
        <w:rPr>
          <w:rFonts w:hint="eastAsia" w:ascii="仿宋_GB2312" w:eastAsia="仿宋_GB2312"/>
          <w:sz w:val="32"/>
          <w:szCs w:val="32"/>
          <w:lang w:eastAsia="zh-CN"/>
        </w:rPr>
        <w:t>可由</w:t>
      </w:r>
      <w:r>
        <w:rPr>
          <w:rFonts w:hint="eastAsia" w:ascii="仿宋_GB2312" w:eastAsia="仿宋_GB2312"/>
          <w:sz w:val="32"/>
          <w:szCs w:val="32"/>
        </w:rPr>
        <w:t>甲方</w:t>
      </w:r>
      <w:r>
        <w:rPr>
          <w:rFonts w:hint="eastAsia" w:ascii="仿宋_GB2312" w:eastAsia="仿宋_GB2312"/>
          <w:sz w:val="32"/>
          <w:szCs w:val="32"/>
          <w:lang w:eastAsia="zh-CN"/>
        </w:rPr>
        <w:t>提供乙方免费安装或乙方提供（以实际采购设备型号另外收取硬件费用）</w:t>
      </w:r>
      <w:r>
        <w:rPr>
          <w:rFonts w:hint="eastAsia" w:ascii="仿宋_GB2312" w:eastAsia="仿宋_GB2312"/>
          <w:sz w:val="32"/>
          <w:szCs w:val="32"/>
        </w:rPr>
        <w:t>，安装于甲方产权设备内的监测硬件的产权属于</w:t>
      </w:r>
      <w:r>
        <w:rPr>
          <w:rFonts w:hint="eastAsia" w:ascii="仿宋_GB2312" w:eastAsia="仿宋_GB2312"/>
          <w:sz w:val="32"/>
          <w:szCs w:val="32"/>
          <w:lang w:eastAsia="zh-CN"/>
        </w:rPr>
        <w:t>甲</w:t>
      </w:r>
      <w:r>
        <w:rPr>
          <w:rFonts w:hint="eastAsia" w:ascii="仿宋_GB2312" w:eastAsia="仿宋_GB2312"/>
          <w:sz w:val="32"/>
          <w:szCs w:val="32"/>
        </w:rPr>
        <w:t>方。</w:t>
      </w:r>
    </w:p>
    <w:p>
      <w:pPr>
        <w:shd w:val="clear"/>
        <w:ind w:firstLine="640" w:firstLineChars="200"/>
        <w:rPr>
          <w:rFonts w:hint="eastAsia" w:ascii="仿宋_GB2312" w:eastAsia="仿宋_GB2312"/>
          <w:sz w:val="32"/>
          <w:szCs w:val="32"/>
        </w:rPr>
      </w:pPr>
      <w:r>
        <w:rPr>
          <w:rFonts w:hint="eastAsia" w:ascii="仿宋_GB2312" w:eastAsia="仿宋_GB2312"/>
          <w:sz w:val="32"/>
          <w:szCs w:val="32"/>
        </w:rPr>
        <w:t>9.乙方发现甲方电气设备存在安全运行隐患时，及时向甲方提出书面整改意见并督促处理，若乙方未对甲方电气设备存在的安全隐患提出整改建议而导致甲方设备故障及用电安全事故，责任由乙方负责，赔偿最高金额为本合同的合同金额。</w:t>
      </w:r>
    </w:p>
    <w:p>
      <w:pPr>
        <w:shd w:val="clear"/>
        <w:ind w:firstLine="640" w:firstLineChars="200"/>
        <w:rPr>
          <w:rFonts w:hint="eastAsia" w:ascii="仿宋_GB2312" w:eastAsia="仿宋_GB2312"/>
          <w:sz w:val="32"/>
          <w:szCs w:val="32"/>
        </w:rPr>
      </w:pPr>
      <w:r>
        <w:rPr>
          <w:rFonts w:hint="eastAsia" w:ascii="仿宋_GB2312" w:eastAsia="仿宋_GB2312"/>
          <w:sz w:val="32"/>
          <w:szCs w:val="32"/>
        </w:rPr>
        <w:t>10.甲方委托乙方进行设备更换、安装、进行事故立项处理工程时，乙方按本合同第三条（配电能效运维服务内容）进行施工。安装工程所需的材料甲方可委托乙方按照用电安装规程的相关标准进行采购或提供，其中材料费、施工设备使用费等相关费用由甲方支付；若甲方自行购买设备材料、施工设备，甲方需出示有关设备材料出厂合格证及安装前交接试验合格报告，否则乙方有权拒绝进行施工。</w:t>
      </w:r>
    </w:p>
    <w:p>
      <w:pPr>
        <w:shd w:val="clear"/>
        <w:ind w:firstLine="640" w:firstLineChars="200"/>
        <w:rPr>
          <w:rFonts w:hint="eastAsia" w:ascii="仿宋_GB2312" w:eastAsia="仿宋_GB2312"/>
          <w:sz w:val="32"/>
          <w:szCs w:val="32"/>
        </w:rPr>
      </w:pPr>
      <w:r>
        <w:rPr>
          <w:rFonts w:hint="eastAsia" w:ascii="仿宋_GB2312" w:eastAsia="仿宋_GB2312"/>
          <w:sz w:val="32"/>
          <w:szCs w:val="32"/>
        </w:rPr>
        <w:t>11.落实本合同</w:t>
      </w:r>
      <w:r>
        <w:rPr>
          <w:rFonts w:hint="eastAsia" w:ascii="仿宋_GB2312" w:eastAsia="仿宋_GB2312"/>
          <w:sz w:val="32"/>
          <w:szCs w:val="32"/>
          <w:lang w:val="en-US" w:eastAsia="zh-CN"/>
        </w:rPr>
        <w:t>第二条服务模块内容和</w:t>
      </w:r>
      <w:r>
        <w:rPr>
          <w:rFonts w:hint="eastAsia" w:ascii="仿宋_GB2312" w:eastAsia="仿宋_GB2312"/>
          <w:sz w:val="32"/>
          <w:szCs w:val="32"/>
        </w:rPr>
        <w:t>第三条明细配电能效运维服务内容（详见附表）。</w:t>
      </w:r>
    </w:p>
    <w:p>
      <w:pPr>
        <w:shd w:val="clear"/>
        <w:ind w:firstLine="643" w:firstLineChars="200"/>
        <w:rPr>
          <w:rFonts w:hint="eastAsia" w:ascii="仿宋_GB2312" w:eastAsia="仿宋_GB2312"/>
          <w:b/>
          <w:bCs/>
          <w:sz w:val="32"/>
          <w:szCs w:val="32"/>
        </w:rPr>
      </w:pPr>
    </w:p>
    <w:p>
      <w:pPr>
        <w:shd w:val="clear"/>
        <w:ind w:firstLine="643" w:firstLineChars="200"/>
        <w:rPr>
          <w:rFonts w:hint="eastAsia" w:ascii="仿宋_GB2312" w:eastAsia="仿宋_GB2312"/>
          <w:b/>
          <w:bCs/>
          <w:sz w:val="32"/>
          <w:szCs w:val="32"/>
        </w:rPr>
      </w:pPr>
      <w:r>
        <w:rPr>
          <w:rFonts w:hint="eastAsia" w:ascii="仿宋_GB2312" w:eastAsia="仿宋_GB2312"/>
          <w:b/>
          <w:bCs/>
          <w:sz w:val="32"/>
          <w:szCs w:val="32"/>
        </w:rPr>
        <w:t>第</w:t>
      </w:r>
      <w:r>
        <w:rPr>
          <w:rFonts w:hint="eastAsia" w:ascii="仿宋_GB2312" w:eastAsia="仿宋_GB2312"/>
          <w:b/>
          <w:bCs/>
          <w:sz w:val="32"/>
          <w:szCs w:val="32"/>
          <w:lang w:val="en-US" w:eastAsia="zh-CN"/>
        </w:rPr>
        <w:t>七</w:t>
      </w:r>
      <w:r>
        <w:rPr>
          <w:rFonts w:hint="eastAsia" w:ascii="仿宋_GB2312" w:eastAsia="仿宋_GB2312"/>
          <w:b/>
          <w:bCs/>
          <w:sz w:val="32"/>
          <w:szCs w:val="32"/>
        </w:rPr>
        <w:t>条  合同价款、支付及结算方式：</w:t>
      </w:r>
    </w:p>
    <w:p>
      <w:pPr>
        <w:shd w:val="clear"/>
        <w:ind w:left="1278" w:leftChars="304" w:hanging="640" w:hangingChars="200"/>
        <w:jc w:val="left"/>
        <w:rPr>
          <w:rFonts w:hint="eastAsia" w:ascii="仿宋_GB2312" w:eastAsia="仿宋_GB2312"/>
          <w:sz w:val="32"/>
          <w:szCs w:val="32"/>
        </w:rPr>
      </w:pPr>
      <w:r>
        <w:rPr>
          <w:rFonts w:hint="eastAsia" w:ascii="仿宋_GB2312" w:eastAsia="仿宋_GB2312"/>
          <w:sz w:val="32"/>
          <w:szCs w:val="32"/>
        </w:rPr>
        <w:t>1.本配电运维服务合同的合同总价款</w:t>
      </w:r>
      <w:r>
        <w:rPr>
          <w:rFonts w:hint="eastAsia" w:ascii="仿宋_GB2312" w:eastAsia="仿宋_GB2312"/>
          <w:sz w:val="32"/>
          <w:szCs w:val="32"/>
          <w:lang w:eastAsia="zh-CN"/>
        </w:rPr>
        <w:t>：（</w:t>
      </w:r>
      <w:r>
        <w:rPr>
          <w:rFonts w:hint="eastAsia" w:ascii="仿宋_GB2312" w:eastAsia="仿宋_GB2312"/>
          <w:sz w:val="32"/>
          <w:szCs w:val="32"/>
          <w:lang w:val="en-US" w:eastAsia="zh-CN"/>
        </w:rPr>
        <w:t>大写</w:t>
      </w:r>
      <w:r>
        <w:rPr>
          <w:rFonts w:hint="eastAsia" w:ascii="仿宋_GB2312" w:eastAsia="仿宋_GB2312"/>
          <w:sz w:val="32"/>
          <w:szCs w:val="32"/>
          <w:lang w:eastAsia="zh-CN"/>
        </w:rPr>
        <w:t>）</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lang w:eastAsia="zh-CN"/>
        </w:rPr>
        <w:t>（</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lang w:eastAsia="zh-CN"/>
        </w:rPr>
        <w:t>）</w:t>
      </w:r>
      <w:r>
        <w:rPr>
          <w:rFonts w:hint="eastAsia" w:ascii="仿宋_GB2312" w:eastAsia="仿宋_GB2312"/>
          <w:sz w:val="32"/>
          <w:szCs w:val="32"/>
        </w:rPr>
        <w:t>。</w:t>
      </w:r>
    </w:p>
    <w:p>
      <w:pPr>
        <w:shd w:val="clear"/>
        <w:ind w:firstLine="640" w:firstLineChars="200"/>
        <w:rPr>
          <w:rFonts w:hint="eastAsia" w:ascii="仿宋_GB2312" w:eastAsia="仿宋_GB2312"/>
          <w:sz w:val="32"/>
          <w:szCs w:val="32"/>
        </w:rPr>
      </w:pPr>
      <w:r>
        <w:rPr>
          <w:rFonts w:hint="eastAsia" w:ascii="仿宋_GB2312" w:eastAsia="仿宋_GB2312"/>
          <w:sz w:val="32"/>
          <w:szCs w:val="32"/>
        </w:rPr>
        <w:t>2.支付方式与时间：</w:t>
      </w:r>
    </w:p>
    <w:p>
      <w:pPr>
        <w:shd w:val="clear"/>
        <w:ind w:firstLine="640" w:firstLineChars="200"/>
        <w:rPr>
          <w:rFonts w:hint="eastAsia" w:ascii="仿宋_GB2312" w:eastAsia="仿宋_GB2312"/>
          <w:sz w:val="32"/>
          <w:szCs w:val="32"/>
        </w:rPr>
      </w:pPr>
      <w:r>
        <w:rPr>
          <w:rFonts w:hint="eastAsia" w:ascii="仿宋_GB2312" w:eastAsia="仿宋_GB2312"/>
          <w:sz w:val="32"/>
          <w:szCs w:val="32"/>
        </w:rPr>
        <w:t>本合同期限为</w:t>
      </w:r>
      <w:r>
        <w:rPr>
          <w:rFonts w:hint="eastAsia" w:ascii="仿宋_GB2312" w:eastAsia="仿宋_GB2312"/>
          <w:sz w:val="32"/>
          <w:szCs w:val="32"/>
          <w:u w:val="single"/>
        </w:rPr>
        <w:t xml:space="preserve"> </w:t>
      </w:r>
      <w:r>
        <w:rPr>
          <w:rFonts w:hint="eastAsia" w:ascii="仿宋_GB2312" w:hAnsi="宋体" w:eastAsia="仿宋_GB2312"/>
          <w:sz w:val="32"/>
          <w:szCs w:val="32"/>
          <w:u w:val="single"/>
          <w:lang w:val="en-US" w:eastAsia="zh-CN"/>
        </w:rPr>
        <w:t>两</w:t>
      </w:r>
      <w:r>
        <w:rPr>
          <w:rFonts w:hint="eastAsia" w:ascii="仿宋_GB2312" w:eastAsia="仿宋_GB2312"/>
          <w:sz w:val="32"/>
          <w:szCs w:val="32"/>
          <w:u w:val="single"/>
        </w:rPr>
        <w:t xml:space="preserve"> </w:t>
      </w:r>
      <w:r>
        <w:rPr>
          <w:rFonts w:hint="eastAsia" w:ascii="仿宋_GB2312" w:eastAsia="仿宋_GB2312"/>
          <w:sz w:val="32"/>
          <w:szCs w:val="32"/>
        </w:rPr>
        <w:t>年，甲方</w:t>
      </w:r>
      <w:r>
        <w:rPr>
          <w:rFonts w:hint="eastAsia" w:ascii="仿宋_GB2312" w:eastAsia="仿宋_GB2312"/>
          <w:sz w:val="32"/>
          <w:szCs w:val="32"/>
          <w:lang w:val="en-US" w:eastAsia="zh-CN"/>
        </w:rPr>
        <w:t>每半年支付一次，</w:t>
      </w:r>
      <w:r>
        <w:rPr>
          <w:rFonts w:hint="eastAsia" w:ascii="仿宋_GB2312" w:eastAsia="仿宋_GB2312"/>
          <w:sz w:val="32"/>
          <w:szCs w:val="32"/>
        </w:rPr>
        <w:t>支付</w:t>
      </w:r>
      <w:r>
        <w:rPr>
          <w:rFonts w:hint="eastAsia" w:ascii="仿宋_GB2312" w:eastAsia="仿宋_GB2312"/>
          <w:sz w:val="32"/>
          <w:szCs w:val="32"/>
          <w:lang w:val="en-US" w:eastAsia="zh-CN"/>
        </w:rPr>
        <w:t>金额为合同总价</w:t>
      </w:r>
      <w:r>
        <w:rPr>
          <w:rFonts w:hint="eastAsia" w:ascii="仿宋_GB2312" w:eastAsia="仿宋_GB2312"/>
          <w:sz w:val="32"/>
          <w:szCs w:val="32"/>
        </w:rPr>
        <w:t>的</w:t>
      </w:r>
      <w:r>
        <w:rPr>
          <w:rFonts w:hint="eastAsia" w:ascii="仿宋_GB2312" w:eastAsia="仿宋_GB2312"/>
          <w:sz w:val="32"/>
          <w:szCs w:val="32"/>
          <w:lang w:val="en-US" w:eastAsia="zh-CN"/>
        </w:rPr>
        <w:t>四</w:t>
      </w:r>
      <w:r>
        <w:rPr>
          <w:rFonts w:hint="eastAsia" w:ascii="仿宋_GB2312" w:eastAsia="仿宋_GB2312"/>
          <w:sz w:val="32"/>
          <w:szCs w:val="32"/>
        </w:rPr>
        <w:t>分之一。</w:t>
      </w:r>
    </w:p>
    <w:p>
      <w:pPr>
        <w:shd w:val="clear"/>
        <w:ind w:firstLine="640" w:firstLineChars="200"/>
        <w:rPr>
          <w:rFonts w:hint="eastAsia" w:ascii="仿宋_GB2312" w:eastAsia="仿宋_GB2312"/>
          <w:sz w:val="32"/>
          <w:szCs w:val="32"/>
        </w:rPr>
      </w:pPr>
      <w:r>
        <w:rPr>
          <w:rFonts w:hint="eastAsia" w:ascii="仿宋_GB2312" w:eastAsia="仿宋_GB2312"/>
          <w:sz w:val="32"/>
          <w:szCs w:val="32"/>
        </w:rPr>
        <w:t>付款方式：银行转账。</w:t>
      </w:r>
    </w:p>
    <w:p>
      <w:pPr>
        <w:shd w:val="clear"/>
        <w:spacing w:before="156"/>
        <w:ind w:firstLine="321" w:firstLineChars="100"/>
        <w:rPr>
          <w:rFonts w:hint="eastAsia" w:ascii="仿宋_GB2312" w:eastAsia="仿宋_GB2312"/>
          <w:b/>
          <w:sz w:val="32"/>
          <w:szCs w:val="32"/>
        </w:rPr>
      </w:pPr>
      <w:r>
        <w:rPr>
          <w:rFonts w:hint="eastAsia" w:ascii="仿宋_GB2312" w:eastAsia="仿宋_GB2312"/>
          <w:b/>
          <w:bCs/>
          <w:sz w:val="32"/>
          <w:szCs w:val="32"/>
        </w:rPr>
        <w:t>第</w:t>
      </w:r>
      <w:r>
        <w:rPr>
          <w:rFonts w:hint="eastAsia" w:ascii="仿宋_GB2312" w:eastAsia="仿宋_GB2312"/>
          <w:b/>
          <w:bCs/>
          <w:sz w:val="32"/>
          <w:szCs w:val="32"/>
          <w:lang w:val="en-US" w:eastAsia="zh-CN"/>
        </w:rPr>
        <w:t>八</w:t>
      </w:r>
      <w:r>
        <w:rPr>
          <w:rFonts w:hint="eastAsia" w:ascii="仿宋_GB2312" w:eastAsia="仿宋_GB2312"/>
          <w:b/>
          <w:bCs/>
          <w:sz w:val="32"/>
          <w:szCs w:val="32"/>
        </w:rPr>
        <w:t xml:space="preserve">条  </w:t>
      </w:r>
      <w:r>
        <w:rPr>
          <w:rFonts w:hint="eastAsia" w:ascii="仿宋_GB2312" w:hAnsi="宋体" w:eastAsia="仿宋_GB2312"/>
          <w:b/>
          <w:bCs/>
          <w:sz w:val="32"/>
          <w:szCs w:val="32"/>
        </w:rPr>
        <w:t>违约责任及免责条款：</w:t>
      </w:r>
    </w:p>
    <w:p>
      <w:pPr>
        <w:shd w:val="clear"/>
        <w:spacing w:before="156"/>
        <w:ind w:firstLine="640" w:firstLineChars="200"/>
        <w:rPr>
          <w:rFonts w:hint="eastAsia" w:ascii="仿宋_GB2312" w:hAnsi="宋体" w:eastAsia="仿宋_GB2312"/>
          <w:sz w:val="32"/>
          <w:szCs w:val="32"/>
        </w:rPr>
      </w:pPr>
      <w:r>
        <w:rPr>
          <w:rFonts w:hint="eastAsia" w:ascii="仿宋_GB2312" w:hAnsi="宋体" w:eastAsia="仿宋_GB2312"/>
          <w:sz w:val="32"/>
          <w:szCs w:val="32"/>
        </w:rPr>
        <w:t>1、因甲方原因，造成乙方未能完成合同规定的工作，乙方不承担违约责任；对甲方损害乙方利益的不当行为，乙方有权要求甲方限期改正，甲方超过限期仍不改正的或整改不符合要求的，乙方有权单方面终止合同，且不需承担由此产生的责任。</w:t>
      </w:r>
    </w:p>
    <w:p>
      <w:pPr>
        <w:shd w:val="clear"/>
        <w:spacing w:before="156"/>
        <w:ind w:firstLine="640" w:firstLineChars="200"/>
        <w:rPr>
          <w:rFonts w:hint="eastAsia" w:ascii="仿宋_GB2312" w:eastAsia="仿宋_GB2312"/>
          <w:sz w:val="32"/>
          <w:szCs w:val="32"/>
        </w:rPr>
      </w:pPr>
      <w:r>
        <w:rPr>
          <w:rFonts w:hint="eastAsia" w:ascii="仿宋_GB2312" w:hAnsi="宋体" w:eastAsia="仿宋_GB2312"/>
          <w:sz w:val="32"/>
          <w:szCs w:val="32"/>
        </w:rPr>
        <w:t>2、对乙方不当的管理行为，甲方有权要求乙方限期整改，乙方超过限期仍不整改的或整改不符合要求的，甲方有权单方面终止合同，且不需承担由此产生的责任。</w:t>
      </w:r>
    </w:p>
    <w:p>
      <w:pPr>
        <w:shd w:val="clear"/>
        <w:spacing w:before="156"/>
        <w:ind w:firstLine="640" w:firstLineChars="200"/>
        <w:rPr>
          <w:rFonts w:hint="eastAsia" w:ascii="仿宋_GB2312" w:eastAsia="仿宋_GB2312"/>
          <w:sz w:val="32"/>
          <w:szCs w:val="32"/>
        </w:rPr>
      </w:pPr>
      <w:r>
        <w:rPr>
          <w:rFonts w:hint="eastAsia" w:ascii="仿宋_GB2312" w:hAnsi="宋体" w:eastAsia="仿宋_GB2312"/>
          <w:sz w:val="32"/>
          <w:szCs w:val="32"/>
        </w:rPr>
        <w:t>3、乙方未经甲方同意擅自改变其配电设备使用功能的，甲方有权要求乙方恢复原状。</w:t>
      </w:r>
    </w:p>
    <w:p>
      <w:pPr>
        <w:shd w:val="clear"/>
        <w:spacing w:before="156"/>
        <w:ind w:firstLine="640" w:firstLineChars="200"/>
        <w:rPr>
          <w:rFonts w:hint="eastAsia" w:ascii="仿宋_GB2312" w:eastAsia="仿宋_GB2312"/>
          <w:sz w:val="32"/>
          <w:szCs w:val="32"/>
        </w:rPr>
      </w:pPr>
      <w:r>
        <w:rPr>
          <w:rFonts w:hint="eastAsia" w:ascii="仿宋_GB2312" w:hAnsi="宋体" w:eastAsia="仿宋_GB2312"/>
          <w:sz w:val="32"/>
          <w:szCs w:val="32"/>
        </w:rPr>
        <w:t>4、乙方承担配电能效运维服务范围内，由于乙方服务人员操作不当而造成甲方配电设备发生故障的维修和更换费用。</w:t>
      </w:r>
    </w:p>
    <w:p>
      <w:pPr>
        <w:shd w:val="clear"/>
        <w:spacing w:before="156"/>
        <w:ind w:firstLine="640" w:firstLineChars="200"/>
        <w:rPr>
          <w:rFonts w:hint="eastAsia" w:ascii="仿宋_GB2312" w:hAnsi="宋体" w:eastAsia="仿宋_GB2312"/>
          <w:sz w:val="32"/>
          <w:szCs w:val="32"/>
        </w:rPr>
      </w:pPr>
      <w:r>
        <w:rPr>
          <w:rFonts w:hint="eastAsia" w:ascii="仿宋_GB2312" w:hAnsi="宋体" w:eastAsia="仿宋_GB2312"/>
          <w:sz w:val="32"/>
          <w:szCs w:val="32"/>
        </w:rPr>
        <w:t>5、本合同执行期间，如遇不可抗力，如战争、水灾、地震、雷击、火灾、政策法规改变、自然损坏等，致使服务范围的甲方设备损毁或本合同内容发生重大改变的，双方均有权要求解除本合同，且不需承担违约责任。</w:t>
      </w:r>
    </w:p>
    <w:p>
      <w:pPr>
        <w:shd w:val="clear"/>
        <w:spacing w:before="156"/>
        <w:ind w:firstLine="321" w:firstLineChars="100"/>
        <w:rPr>
          <w:rFonts w:hint="eastAsia" w:ascii="仿宋_GB2312" w:eastAsia="仿宋_GB2312"/>
          <w:b/>
          <w:sz w:val="32"/>
          <w:szCs w:val="32"/>
        </w:rPr>
      </w:pPr>
      <w:r>
        <w:rPr>
          <w:rFonts w:hint="eastAsia" w:ascii="仿宋_GB2312" w:hAnsi="宋体" w:eastAsia="仿宋_GB2312"/>
          <w:b/>
          <w:sz w:val="32"/>
          <w:szCs w:val="32"/>
        </w:rPr>
        <w:t>第</w:t>
      </w:r>
      <w:r>
        <w:rPr>
          <w:rFonts w:hint="eastAsia" w:ascii="仿宋_GB2312" w:hAnsi="宋体" w:eastAsia="仿宋_GB2312"/>
          <w:b/>
          <w:sz w:val="32"/>
          <w:szCs w:val="32"/>
          <w:lang w:val="en-US" w:eastAsia="zh-CN"/>
        </w:rPr>
        <w:t>九</w:t>
      </w:r>
      <w:r>
        <w:rPr>
          <w:rFonts w:hint="eastAsia" w:ascii="仿宋_GB2312" w:hAnsi="宋体" w:eastAsia="仿宋_GB2312"/>
          <w:b/>
          <w:sz w:val="32"/>
          <w:szCs w:val="32"/>
        </w:rPr>
        <w:t>条  其他事项：</w:t>
      </w:r>
    </w:p>
    <w:p>
      <w:pPr>
        <w:shd w:val="clear"/>
        <w:spacing w:before="156"/>
        <w:ind w:firstLine="640" w:firstLineChars="200"/>
        <w:rPr>
          <w:rFonts w:hint="eastAsia" w:ascii="仿宋_GB2312" w:eastAsia="仿宋_GB2312"/>
          <w:sz w:val="32"/>
          <w:szCs w:val="32"/>
        </w:rPr>
      </w:pPr>
      <w:r>
        <w:rPr>
          <w:rFonts w:hint="eastAsia" w:ascii="仿宋_GB2312" w:hAnsi="宋体" w:eastAsia="仿宋_GB2312"/>
          <w:sz w:val="32"/>
          <w:szCs w:val="32"/>
        </w:rPr>
        <w:t>1.甲乙双方可对本合同的条款进行修订、更改和补充，但须以书面签订的补充协议为准，补充协议与本合同具有同等效力。</w:t>
      </w:r>
    </w:p>
    <w:p>
      <w:pPr>
        <w:shd w:val="clear"/>
        <w:spacing w:before="156"/>
        <w:ind w:firstLine="640" w:firstLineChars="200"/>
        <w:rPr>
          <w:rFonts w:hint="eastAsia" w:ascii="仿宋_GB2312" w:eastAsia="仿宋_GB2312"/>
          <w:sz w:val="32"/>
          <w:szCs w:val="32"/>
        </w:rPr>
      </w:pPr>
      <w:r>
        <w:rPr>
          <w:rFonts w:hint="eastAsia" w:ascii="仿宋_GB2312" w:hAnsi="宋体" w:eastAsia="仿宋_GB2312"/>
          <w:sz w:val="32"/>
          <w:szCs w:val="32"/>
        </w:rPr>
        <w:t>2.合同规定的管理期满，本合同自然到期。双方如需续订或结束合同，甲方应在该合同期满一个月前向乙方提出继续合作或终止合作意向，如甲方逾期视为续签。</w:t>
      </w:r>
    </w:p>
    <w:p>
      <w:pPr>
        <w:shd w:val="clear"/>
        <w:spacing w:before="156"/>
        <w:ind w:firstLine="640" w:firstLineChars="200"/>
        <w:rPr>
          <w:rFonts w:hint="eastAsia" w:ascii="仿宋_GB2312" w:eastAsia="仿宋_GB2312"/>
          <w:sz w:val="32"/>
          <w:szCs w:val="32"/>
        </w:rPr>
      </w:pPr>
      <w:r>
        <w:rPr>
          <w:rFonts w:hint="eastAsia" w:ascii="仿宋_GB2312" w:hAnsi="宋体" w:eastAsia="仿宋_GB2312"/>
          <w:sz w:val="32"/>
          <w:szCs w:val="32"/>
        </w:rPr>
        <w:t>3.本合同所述的法规、政策、规程均为合同签订之时国家颁布最新的有效法规、政策、规程。</w:t>
      </w:r>
    </w:p>
    <w:p>
      <w:pPr>
        <w:shd w:val="clear"/>
        <w:spacing w:before="156"/>
        <w:ind w:firstLine="640" w:firstLineChars="200"/>
        <w:rPr>
          <w:rFonts w:hint="eastAsia" w:ascii="仿宋_GB2312" w:hAnsi="宋体" w:eastAsia="仿宋_GB2312"/>
          <w:sz w:val="32"/>
          <w:szCs w:val="32"/>
        </w:rPr>
      </w:pPr>
      <w:r>
        <w:rPr>
          <w:rFonts w:hint="eastAsia" w:ascii="仿宋_GB2312" w:hAnsi="宋体" w:eastAsia="仿宋_GB2312"/>
          <w:sz w:val="32"/>
          <w:szCs w:val="32"/>
        </w:rPr>
        <w:t>4.本合同在履行中如发生争议，双方应协商解决，协商不成时，提请调解，调解不成时，向甲方所在地人民法院提起诉讼。</w:t>
      </w:r>
    </w:p>
    <w:p>
      <w:pPr>
        <w:shd w:val="clear"/>
        <w:spacing w:before="156"/>
        <w:ind w:firstLine="640" w:firstLineChars="200"/>
        <w:rPr>
          <w:rFonts w:hint="eastAsia" w:ascii="仿宋_GB2312" w:eastAsia="仿宋_GB2312"/>
          <w:sz w:val="32"/>
          <w:szCs w:val="32"/>
        </w:rPr>
      </w:pPr>
      <w:r>
        <w:rPr>
          <w:rFonts w:hint="eastAsia" w:ascii="仿宋_GB2312" w:hAnsi="宋体" w:eastAsia="仿宋_GB2312"/>
          <w:sz w:val="32"/>
          <w:szCs w:val="32"/>
        </w:rPr>
        <w:t>5.甲方未能按照本合同约定时间内支付本合同金额，每延期一天，按应付合同金额费用的万分之一向乙方支付违约金，且乙方有权顺延本合同服务内容的工作并出具延迟报告，若甲方逾期30天未支付，甲方须按合同金额、逾期费、及所产生的违约金等，支付给乙方。且乙方有权终止本合同。</w:t>
      </w:r>
    </w:p>
    <w:p>
      <w:pPr>
        <w:shd w:val="clear"/>
        <w:spacing w:before="156"/>
        <w:ind w:firstLine="640" w:firstLineChars="200"/>
        <w:rPr>
          <w:rFonts w:hint="eastAsia" w:ascii="仿宋_GB2312" w:hAnsi="宋体" w:eastAsia="仿宋_GB2312"/>
          <w:sz w:val="32"/>
          <w:szCs w:val="32"/>
        </w:rPr>
      </w:pPr>
    </w:p>
    <w:p>
      <w:pPr>
        <w:shd w:val="clear"/>
        <w:spacing w:before="156"/>
        <w:ind w:firstLine="640" w:firstLineChars="200"/>
        <w:rPr>
          <w:rFonts w:hint="eastAsia" w:ascii="仿宋_GB2312" w:hAnsi="宋体" w:eastAsia="仿宋_GB2312"/>
          <w:sz w:val="32"/>
          <w:szCs w:val="32"/>
        </w:rPr>
      </w:pPr>
    </w:p>
    <w:p>
      <w:pPr>
        <w:shd w:val="clear"/>
        <w:spacing w:before="156"/>
        <w:ind w:firstLine="640" w:firstLineChars="200"/>
        <w:rPr>
          <w:rFonts w:hint="eastAsia" w:eastAsia="仿宋_GB2312"/>
          <w:lang w:eastAsia="zh-CN"/>
        </w:rPr>
      </w:pPr>
      <w:r>
        <w:rPr>
          <w:rFonts w:hint="eastAsia" w:ascii="仿宋_GB2312" w:hAnsi="宋体" w:eastAsia="仿宋_GB2312"/>
          <w:sz w:val="32"/>
          <w:szCs w:val="32"/>
        </w:rPr>
        <w:t>6、其他补充条款：</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eastAsia="zh-CN"/>
        </w:rPr>
        <w:t>。</w:t>
      </w:r>
    </w:p>
    <w:p>
      <w:pPr>
        <w:numPr>
          <w:ilvl w:val="0"/>
          <w:numId w:val="3"/>
        </w:numPr>
        <w:shd w:val="clear"/>
        <w:spacing w:before="156"/>
        <w:ind w:firstLine="640" w:firstLineChars="200"/>
        <w:rPr>
          <w:rFonts w:hint="eastAsia" w:ascii="仿宋_GB2312" w:hAnsi="宋体" w:eastAsia="仿宋_GB2312"/>
          <w:sz w:val="32"/>
          <w:szCs w:val="32"/>
        </w:rPr>
      </w:pPr>
      <w:r>
        <w:rPr>
          <w:rFonts w:hint="eastAsia" w:ascii="仿宋_GB2312" w:hAnsi="宋体" w:eastAsia="仿宋_GB2312"/>
          <w:sz w:val="32"/>
          <w:szCs w:val="32"/>
        </w:rPr>
        <w:t>本合同一式</w:t>
      </w:r>
      <w:r>
        <w:rPr>
          <w:rFonts w:hint="eastAsia" w:ascii="仿宋_GB2312" w:hAnsi="宋体" w:eastAsia="仿宋_GB2312"/>
          <w:sz w:val="32"/>
          <w:szCs w:val="32"/>
          <w:lang w:val="en-US" w:eastAsia="zh-CN"/>
        </w:rPr>
        <w:t>肆</w:t>
      </w:r>
      <w:r>
        <w:rPr>
          <w:rFonts w:hint="eastAsia" w:ascii="仿宋_GB2312" w:hAnsi="宋体" w:eastAsia="仿宋_GB2312"/>
          <w:sz w:val="32"/>
          <w:szCs w:val="32"/>
        </w:rPr>
        <w:t>份，甲、乙双方各执</w:t>
      </w:r>
      <w:r>
        <w:rPr>
          <w:rFonts w:hint="eastAsia" w:ascii="仿宋_GB2312" w:hAnsi="宋体" w:eastAsia="仿宋_GB2312"/>
          <w:sz w:val="32"/>
          <w:szCs w:val="32"/>
          <w:lang w:val="en-US" w:eastAsia="zh-CN"/>
        </w:rPr>
        <w:t>贰</w:t>
      </w:r>
      <w:r>
        <w:rPr>
          <w:rFonts w:hint="eastAsia" w:ascii="仿宋_GB2312" w:hAnsi="宋体" w:eastAsia="仿宋_GB2312"/>
          <w:sz w:val="32"/>
          <w:szCs w:val="32"/>
        </w:rPr>
        <w:t>份，均具同等法律效力，</w:t>
      </w:r>
      <w:r>
        <w:rPr>
          <w:rFonts w:hint="eastAsia" w:ascii="仿宋_GB2312" w:hAnsi="宋体" w:eastAsia="仿宋_GB2312"/>
          <w:sz w:val="32"/>
          <w:szCs w:val="32"/>
          <w:lang w:val="en-US" w:eastAsia="zh-CN"/>
        </w:rPr>
        <w:t>合同签订之日</w:t>
      </w:r>
      <w:r>
        <w:rPr>
          <w:rFonts w:hint="eastAsia" w:ascii="仿宋_GB2312" w:hAnsi="宋体" w:eastAsia="仿宋_GB2312"/>
          <w:sz w:val="32"/>
          <w:szCs w:val="32"/>
        </w:rPr>
        <w:t>起生效。</w:t>
      </w:r>
    </w:p>
    <w:p>
      <w:pPr>
        <w:shd w:val="clear"/>
        <w:spacing w:before="156"/>
        <w:rPr>
          <w:rFonts w:hint="eastAsia" w:ascii="仿宋_GB2312" w:hAnsi="宋体" w:eastAsia="仿宋_GB2312"/>
          <w:sz w:val="32"/>
          <w:szCs w:val="32"/>
        </w:rPr>
      </w:pPr>
      <w:r>
        <w:rPr>
          <w:rFonts w:hint="eastAsia" w:ascii="仿宋_GB2312" w:hAnsi="宋体" w:eastAsia="仿宋_GB2312"/>
          <w:sz w:val="32"/>
          <w:szCs w:val="32"/>
        </w:rPr>
        <w:t xml:space="preserve"> </w:t>
      </w:r>
    </w:p>
    <w:p>
      <w:pPr>
        <w:shd w:val="clear"/>
        <w:spacing w:before="156"/>
        <w:rPr>
          <w:rFonts w:hint="eastAsia" w:ascii="仿宋_GB2312" w:hAnsi="宋体" w:eastAsia="仿宋_GB2312"/>
          <w:sz w:val="32"/>
          <w:szCs w:val="32"/>
        </w:rPr>
      </w:pPr>
      <w:r>
        <w:rPr>
          <w:rFonts w:hint="eastAsia" w:ascii="仿宋_GB2312" w:hAnsi="宋体" w:eastAsia="仿宋_GB2312"/>
          <w:sz w:val="32"/>
          <w:szCs w:val="32"/>
        </w:rPr>
        <w:t xml:space="preserve"> </w:t>
      </w:r>
    </w:p>
    <w:tbl>
      <w:tblPr>
        <w:tblStyle w:val="12"/>
        <w:tblW w:w="10704" w:type="dxa"/>
        <w:jc w:val="center"/>
        <w:tblInd w:w="0" w:type="dxa"/>
        <w:tblLayout w:type="fixed"/>
        <w:tblCellMar>
          <w:top w:w="0" w:type="dxa"/>
          <w:left w:w="108" w:type="dxa"/>
          <w:bottom w:w="0" w:type="dxa"/>
          <w:right w:w="108" w:type="dxa"/>
        </w:tblCellMar>
      </w:tblPr>
      <w:tblGrid>
        <w:gridCol w:w="5168"/>
        <w:gridCol w:w="5536"/>
      </w:tblGrid>
      <w:tr>
        <w:tblPrEx>
          <w:tblLayout w:type="fixed"/>
          <w:tblCellMar>
            <w:top w:w="0" w:type="dxa"/>
            <w:left w:w="108" w:type="dxa"/>
            <w:bottom w:w="0" w:type="dxa"/>
            <w:right w:w="108" w:type="dxa"/>
          </w:tblCellMar>
        </w:tblPrEx>
        <w:trPr>
          <w:trHeight w:val="988" w:hRule="atLeast"/>
          <w:jc w:val="center"/>
        </w:trPr>
        <w:tc>
          <w:tcPr>
            <w:tcW w:w="5168" w:type="dxa"/>
            <w:tcBorders>
              <w:top w:val="nil"/>
              <w:left w:val="nil"/>
              <w:bottom w:val="nil"/>
              <w:right w:val="nil"/>
            </w:tcBorders>
            <w:vAlign w:val="top"/>
          </w:tcPr>
          <w:p>
            <w:pPr>
              <w:shd w:val="clear"/>
              <w:spacing w:before="20"/>
              <w:rPr>
                <w:rFonts w:hint="eastAsia" w:ascii="仿宋_GB2312" w:hAnsi="宋体" w:eastAsia="仿宋_GB2312" w:cs="Calibri"/>
                <w:sz w:val="32"/>
                <w:szCs w:val="32"/>
              </w:rPr>
            </w:pPr>
            <w:r>
              <w:rPr>
                <w:rFonts w:hint="eastAsia" w:ascii="仿宋_GB2312" w:hAnsi="宋体" w:eastAsia="仿宋_GB2312"/>
                <w:bCs/>
                <w:sz w:val="32"/>
                <w:szCs w:val="32"/>
              </w:rPr>
              <w:t>甲方：</w:t>
            </w:r>
            <w:r>
              <w:rPr>
                <w:rFonts w:hint="eastAsia" w:ascii="仿宋_GB2312" w:hAnsi="宋体" w:eastAsia="仿宋_GB2312"/>
                <w:sz w:val="32"/>
                <w:szCs w:val="32"/>
                <w:u w:val="single"/>
              </w:rPr>
              <w:t>广西警察学院</w:t>
            </w:r>
            <w:r>
              <w:rPr>
                <w:rFonts w:hint="eastAsia" w:ascii="仿宋_GB2312" w:hAnsi="宋体" w:eastAsia="仿宋_GB2312"/>
                <w:sz w:val="32"/>
                <w:szCs w:val="32"/>
              </w:rPr>
              <w:t>（盖章）</w:t>
            </w:r>
          </w:p>
          <w:p>
            <w:pPr>
              <w:shd w:val="clear"/>
              <w:spacing w:before="20"/>
              <w:rPr>
                <w:rFonts w:hint="eastAsia" w:ascii="仿宋_GB2312" w:hAnsi="宋体" w:eastAsia="仿宋_GB2312"/>
                <w:sz w:val="32"/>
                <w:szCs w:val="32"/>
              </w:rPr>
            </w:pPr>
            <w:r>
              <w:rPr>
                <w:rFonts w:hint="eastAsia" w:ascii="仿宋_GB2312" w:hAnsi="宋体" w:eastAsia="仿宋_GB2312"/>
                <w:bCs/>
                <w:sz w:val="32"/>
                <w:szCs w:val="32"/>
              </w:rPr>
              <w:t>地址：南宁市青秀区军堂路6号</w:t>
            </w:r>
          </w:p>
        </w:tc>
        <w:tc>
          <w:tcPr>
            <w:tcW w:w="5536" w:type="dxa"/>
            <w:tcBorders>
              <w:top w:val="nil"/>
              <w:left w:val="nil"/>
              <w:bottom w:val="nil"/>
              <w:right w:val="nil"/>
            </w:tcBorders>
            <w:vAlign w:val="top"/>
          </w:tcPr>
          <w:p>
            <w:pPr>
              <w:shd w:val="clear"/>
              <w:spacing w:before="20"/>
              <w:rPr>
                <w:rFonts w:hint="eastAsia" w:ascii="仿宋_GB2312" w:hAnsi="宋体" w:eastAsia="仿宋_GB2312" w:cs="Calibri"/>
                <w:bCs/>
                <w:sz w:val="32"/>
                <w:szCs w:val="32"/>
              </w:rPr>
            </w:pPr>
            <w:r>
              <w:rPr>
                <w:rFonts w:hint="eastAsia" w:ascii="仿宋_GB2312" w:hAnsi="宋体" w:eastAsia="仿宋_GB2312"/>
                <w:bCs/>
                <w:sz w:val="32"/>
                <w:szCs w:val="32"/>
              </w:rPr>
              <w:t>乙方：</w:t>
            </w:r>
            <w:r>
              <w:rPr>
                <w:rFonts w:hint="eastAsia" w:ascii="仿宋_GB2312" w:hAnsi="宋体" w:eastAsia="仿宋_GB2312"/>
                <w:bCs/>
                <w:sz w:val="32"/>
                <w:szCs w:val="32"/>
                <w:u w:val="single"/>
              </w:rPr>
              <w:t xml:space="preserve">              </w:t>
            </w:r>
            <w:r>
              <w:rPr>
                <w:rFonts w:hint="eastAsia" w:ascii="仿宋_GB2312" w:hAnsi="宋体" w:eastAsia="仿宋_GB2312"/>
                <w:bCs/>
                <w:sz w:val="32"/>
                <w:szCs w:val="32"/>
              </w:rPr>
              <w:t xml:space="preserve"> （盖章）</w:t>
            </w:r>
          </w:p>
          <w:p>
            <w:pPr>
              <w:shd w:val="clear"/>
              <w:spacing w:before="20"/>
              <w:rPr>
                <w:rFonts w:hint="eastAsia" w:ascii="仿宋_GB2312" w:hAnsi="宋体" w:eastAsia="仿宋_GB2312" w:cs="Calibri"/>
                <w:bCs/>
                <w:sz w:val="32"/>
                <w:szCs w:val="32"/>
              </w:rPr>
            </w:pPr>
            <w:r>
              <w:rPr>
                <w:rFonts w:hint="eastAsia" w:ascii="仿宋_GB2312" w:hAnsi="宋体" w:eastAsia="仿宋_GB2312"/>
                <w:bCs/>
                <w:sz w:val="32"/>
                <w:szCs w:val="32"/>
              </w:rPr>
              <w:t>地址：</w:t>
            </w:r>
            <w:r>
              <w:rPr>
                <w:rFonts w:hint="eastAsia" w:ascii="仿宋_GB2312" w:hAnsi="宋体" w:eastAsia="仿宋_GB2312" w:cs="Calibri"/>
                <w:bCs/>
                <w:sz w:val="32"/>
                <w:szCs w:val="32"/>
              </w:rPr>
              <w:t xml:space="preserve"> </w:t>
            </w:r>
          </w:p>
        </w:tc>
      </w:tr>
      <w:tr>
        <w:tblPrEx>
          <w:tblLayout w:type="fixed"/>
        </w:tblPrEx>
        <w:trPr>
          <w:trHeight w:val="1584" w:hRule="atLeast"/>
          <w:jc w:val="center"/>
        </w:trPr>
        <w:tc>
          <w:tcPr>
            <w:tcW w:w="5168" w:type="dxa"/>
            <w:tcBorders>
              <w:top w:val="nil"/>
              <w:left w:val="nil"/>
              <w:bottom w:val="nil"/>
              <w:right w:val="nil"/>
            </w:tcBorders>
            <w:vAlign w:val="top"/>
          </w:tcPr>
          <w:p>
            <w:pPr>
              <w:shd w:val="clear"/>
              <w:spacing w:before="156"/>
              <w:rPr>
                <w:rFonts w:hint="eastAsia" w:ascii="仿宋_GB2312" w:hAnsi="宋体" w:eastAsia="仿宋_GB2312" w:cs="Calibri"/>
                <w:bCs/>
                <w:sz w:val="32"/>
                <w:szCs w:val="32"/>
              </w:rPr>
            </w:pPr>
            <w:r>
              <w:rPr>
                <w:rFonts w:hint="eastAsia" w:ascii="仿宋_GB2312" w:hAnsi="宋体" w:eastAsia="仿宋_GB2312"/>
                <w:bCs/>
                <w:sz w:val="32"/>
                <w:szCs w:val="32"/>
              </w:rPr>
              <w:t>法人代表或委托代理人</w:t>
            </w:r>
          </w:p>
          <w:p>
            <w:pPr>
              <w:shd w:val="clear"/>
              <w:spacing w:before="156"/>
              <w:rPr>
                <w:rFonts w:hint="eastAsia" w:ascii="仿宋_GB2312" w:eastAsia="仿宋_GB2312" w:cs="Calibri"/>
                <w:bCs/>
                <w:sz w:val="32"/>
                <w:szCs w:val="32"/>
              </w:rPr>
            </w:pPr>
            <w:r>
              <w:rPr>
                <w:rFonts w:hint="eastAsia" w:ascii="仿宋_GB2312" w:hAnsi="宋体" w:eastAsia="仿宋_GB2312"/>
                <w:bCs/>
                <w:sz w:val="32"/>
                <w:szCs w:val="32"/>
              </w:rPr>
              <w:t>（签字或盖章）：</w:t>
            </w:r>
          </w:p>
        </w:tc>
        <w:tc>
          <w:tcPr>
            <w:tcW w:w="5536" w:type="dxa"/>
            <w:tcBorders>
              <w:top w:val="nil"/>
              <w:left w:val="nil"/>
              <w:bottom w:val="nil"/>
              <w:right w:val="nil"/>
            </w:tcBorders>
            <w:vAlign w:val="top"/>
          </w:tcPr>
          <w:p>
            <w:pPr>
              <w:shd w:val="clear"/>
              <w:spacing w:before="156"/>
              <w:rPr>
                <w:rFonts w:hint="eastAsia" w:ascii="仿宋_GB2312" w:hAnsi="宋体" w:eastAsia="仿宋_GB2312" w:cs="Calibri"/>
                <w:bCs/>
                <w:sz w:val="32"/>
                <w:szCs w:val="32"/>
              </w:rPr>
            </w:pPr>
            <w:r>
              <w:rPr>
                <w:rFonts w:hint="eastAsia" w:ascii="仿宋_GB2312" w:hAnsi="宋体" w:eastAsia="仿宋_GB2312"/>
                <w:bCs/>
                <w:sz w:val="32"/>
                <w:szCs w:val="32"/>
              </w:rPr>
              <w:t>法人代表或委托代理人</w:t>
            </w:r>
          </w:p>
          <w:p>
            <w:pPr>
              <w:shd w:val="clear"/>
              <w:spacing w:before="156"/>
              <w:rPr>
                <w:rFonts w:hint="eastAsia" w:ascii="仿宋_GB2312" w:hAnsi="宋体" w:eastAsia="仿宋_GB2312"/>
                <w:bCs/>
                <w:sz w:val="32"/>
                <w:szCs w:val="32"/>
              </w:rPr>
            </w:pPr>
            <w:r>
              <w:rPr>
                <w:rFonts w:hint="eastAsia" w:ascii="仿宋_GB2312" w:hAnsi="宋体" w:eastAsia="仿宋_GB2312"/>
                <w:bCs/>
                <w:sz w:val="32"/>
                <w:szCs w:val="32"/>
              </w:rPr>
              <w:t>（签字或盖章）：</w:t>
            </w:r>
          </w:p>
        </w:tc>
      </w:tr>
      <w:tr>
        <w:tblPrEx>
          <w:tblLayout w:type="fixed"/>
          <w:tblCellMar>
            <w:top w:w="0" w:type="dxa"/>
            <w:left w:w="108" w:type="dxa"/>
            <w:bottom w:w="0" w:type="dxa"/>
            <w:right w:w="108" w:type="dxa"/>
          </w:tblCellMar>
        </w:tblPrEx>
        <w:trPr>
          <w:trHeight w:val="804" w:hRule="atLeast"/>
          <w:jc w:val="center"/>
        </w:trPr>
        <w:tc>
          <w:tcPr>
            <w:tcW w:w="5168" w:type="dxa"/>
            <w:tcBorders>
              <w:top w:val="nil"/>
              <w:left w:val="nil"/>
              <w:bottom w:val="nil"/>
              <w:right w:val="nil"/>
            </w:tcBorders>
            <w:vAlign w:val="top"/>
          </w:tcPr>
          <w:p>
            <w:pPr>
              <w:shd w:val="clear"/>
              <w:spacing w:before="156"/>
              <w:rPr>
                <w:rFonts w:hint="eastAsia" w:ascii="仿宋_GB2312" w:eastAsia="仿宋_GB2312" w:cs="Calibri"/>
                <w:bCs/>
                <w:sz w:val="32"/>
                <w:szCs w:val="32"/>
              </w:rPr>
            </w:pPr>
            <w:r>
              <w:rPr>
                <w:rFonts w:hint="eastAsia" w:ascii="仿宋_GB2312" w:hAnsi="宋体" w:eastAsia="仿宋_GB2312"/>
                <w:bCs/>
                <w:sz w:val="32"/>
                <w:szCs w:val="32"/>
              </w:rPr>
              <w:t>签约日期：</w:t>
            </w:r>
            <w:r>
              <w:rPr>
                <w:rFonts w:hint="eastAsia" w:ascii="仿宋_GB2312" w:hAnsi="宋体" w:eastAsia="仿宋_GB2312"/>
                <w:bCs/>
                <w:sz w:val="32"/>
                <w:szCs w:val="32"/>
                <w:u w:val="single"/>
              </w:rPr>
              <w:t xml:space="preserve"> </w:t>
            </w:r>
            <w:r>
              <w:rPr>
                <w:rFonts w:hint="eastAsia" w:ascii="仿宋_GB2312" w:hAnsi="宋体" w:eastAsia="仿宋_GB2312"/>
                <w:bCs/>
                <w:sz w:val="32"/>
                <w:szCs w:val="32"/>
                <w:u w:val="single"/>
                <w:lang w:val="en-US" w:eastAsia="zh-CN"/>
              </w:rPr>
              <w:t xml:space="preserve">    </w:t>
            </w:r>
            <w:r>
              <w:rPr>
                <w:rFonts w:hint="eastAsia" w:ascii="仿宋_GB2312" w:hAnsi="宋体" w:eastAsia="仿宋_GB2312"/>
                <w:bCs/>
                <w:sz w:val="32"/>
                <w:szCs w:val="32"/>
                <w:u w:val="single"/>
              </w:rPr>
              <w:t xml:space="preserve"> </w:t>
            </w:r>
            <w:r>
              <w:rPr>
                <w:rFonts w:hint="eastAsia" w:ascii="仿宋_GB2312" w:hAnsi="宋体" w:eastAsia="仿宋_GB2312"/>
                <w:bCs/>
                <w:sz w:val="32"/>
                <w:szCs w:val="32"/>
              </w:rPr>
              <w:t>年</w:t>
            </w:r>
            <w:r>
              <w:rPr>
                <w:rFonts w:hint="eastAsia" w:ascii="仿宋_GB2312" w:hAnsi="宋体" w:eastAsia="仿宋_GB2312"/>
                <w:bCs/>
                <w:sz w:val="32"/>
                <w:szCs w:val="32"/>
                <w:u w:val="single"/>
              </w:rPr>
              <w:t xml:space="preserve"> </w:t>
            </w:r>
            <w:r>
              <w:rPr>
                <w:rFonts w:hint="eastAsia" w:ascii="仿宋_GB2312" w:hAnsi="宋体" w:eastAsia="仿宋_GB2312"/>
                <w:bCs/>
                <w:sz w:val="32"/>
                <w:szCs w:val="32"/>
                <w:u w:val="single"/>
                <w:lang w:val="en-US" w:eastAsia="zh-CN"/>
              </w:rPr>
              <w:t xml:space="preserve"> </w:t>
            </w:r>
            <w:r>
              <w:rPr>
                <w:rFonts w:hint="eastAsia" w:ascii="仿宋_GB2312" w:hAnsi="宋体" w:eastAsia="仿宋_GB2312"/>
                <w:bCs/>
                <w:sz w:val="32"/>
                <w:szCs w:val="32"/>
                <w:u w:val="single"/>
              </w:rPr>
              <w:t xml:space="preserve"> </w:t>
            </w:r>
            <w:r>
              <w:rPr>
                <w:rFonts w:hint="eastAsia" w:ascii="仿宋_GB2312" w:hAnsi="宋体" w:eastAsia="仿宋_GB2312"/>
                <w:bCs/>
                <w:sz w:val="32"/>
                <w:szCs w:val="32"/>
              </w:rPr>
              <w:t>月</w:t>
            </w:r>
            <w:r>
              <w:rPr>
                <w:rFonts w:hint="eastAsia" w:ascii="仿宋_GB2312" w:hAnsi="宋体" w:eastAsia="仿宋_GB2312"/>
                <w:bCs/>
                <w:sz w:val="32"/>
                <w:szCs w:val="32"/>
                <w:u w:val="single"/>
              </w:rPr>
              <w:t xml:space="preserve"> </w:t>
            </w:r>
            <w:r>
              <w:rPr>
                <w:rFonts w:hint="eastAsia" w:ascii="仿宋_GB2312" w:hAnsi="宋体" w:eastAsia="仿宋_GB2312"/>
                <w:bCs/>
                <w:sz w:val="32"/>
                <w:szCs w:val="32"/>
                <w:u w:val="single"/>
                <w:lang w:val="en-US" w:eastAsia="zh-CN"/>
              </w:rPr>
              <w:t xml:space="preserve"> </w:t>
            </w:r>
            <w:r>
              <w:rPr>
                <w:rFonts w:hint="eastAsia" w:ascii="仿宋_GB2312" w:hAnsi="宋体" w:eastAsia="仿宋_GB2312"/>
                <w:bCs/>
                <w:sz w:val="32"/>
                <w:szCs w:val="32"/>
                <w:u w:val="single"/>
              </w:rPr>
              <w:t xml:space="preserve"> </w:t>
            </w:r>
            <w:r>
              <w:rPr>
                <w:rFonts w:hint="eastAsia" w:ascii="仿宋_GB2312" w:hAnsi="宋体" w:eastAsia="仿宋_GB2312"/>
                <w:bCs/>
                <w:sz w:val="32"/>
                <w:szCs w:val="32"/>
              </w:rPr>
              <w:t>日</w:t>
            </w:r>
          </w:p>
        </w:tc>
        <w:tc>
          <w:tcPr>
            <w:tcW w:w="5536" w:type="dxa"/>
            <w:tcBorders>
              <w:top w:val="nil"/>
              <w:left w:val="nil"/>
              <w:bottom w:val="nil"/>
              <w:right w:val="nil"/>
            </w:tcBorders>
            <w:vAlign w:val="top"/>
          </w:tcPr>
          <w:p>
            <w:pPr>
              <w:shd w:val="clear"/>
              <w:spacing w:before="156"/>
              <w:rPr>
                <w:rFonts w:hint="eastAsia" w:ascii="仿宋_GB2312" w:eastAsia="仿宋_GB2312" w:cs="Calibri"/>
                <w:bCs/>
                <w:sz w:val="32"/>
                <w:szCs w:val="32"/>
              </w:rPr>
            </w:pPr>
            <w:r>
              <w:rPr>
                <w:rFonts w:hint="eastAsia" w:ascii="仿宋_GB2312" w:hAnsi="宋体" w:eastAsia="仿宋_GB2312"/>
                <w:bCs/>
                <w:sz w:val="32"/>
                <w:szCs w:val="32"/>
              </w:rPr>
              <w:t>签约日期：</w:t>
            </w:r>
            <w:r>
              <w:rPr>
                <w:rFonts w:hint="eastAsia" w:ascii="仿宋_GB2312" w:hAnsi="宋体" w:eastAsia="仿宋_GB2312"/>
                <w:bCs/>
                <w:sz w:val="32"/>
                <w:szCs w:val="32"/>
                <w:u w:val="single"/>
              </w:rPr>
              <w:t xml:space="preserve"> </w:t>
            </w:r>
            <w:r>
              <w:rPr>
                <w:rFonts w:hint="eastAsia" w:ascii="仿宋_GB2312" w:hAnsi="宋体" w:eastAsia="仿宋_GB2312"/>
                <w:bCs/>
                <w:sz w:val="32"/>
                <w:szCs w:val="32"/>
                <w:u w:val="single"/>
                <w:lang w:val="en-US" w:eastAsia="zh-CN"/>
              </w:rPr>
              <w:t xml:space="preserve">   </w:t>
            </w:r>
            <w:r>
              <w:rPr>
                <w:rFonts w:hint="eastAsia" w:ascii="仿宋_GB2312" w:hAnsi="宋体" w:eastAsia="仿宋_GB2312"/>
                <w:bCs/>
                <w:sz w:val="32"/>
                <w:szCs w:val="32"/>
                <w:u w:val="single"/>
              </w:rPr>
              <w:t xml:space="preserve">  </w:t>
            </w:r>
            <w:r>
              <w:rPr>
                <w:rFonts w:hint="eastAsia" w:ascii="仿宋_GB2312" w:hAnsi="宋体" w:eastAsia="仿宋_GB2312"/>
                <w:bCs/>
                <w:sz w:val="32"/>
                <w:szCs w:val="32"/>
              </w:rPr>
              <w:t>年</w:t>
            </w:r>
            <w:r>
              <w:rPr>
                <w:rFonts w:hint="eastAsia" w:ascii="仿宋_GB2312" w:hAnsi="宋体" w:eastAsia="仿宋_GB2312"/>
                <w:bCs/>
                <w:sz w:val="32"/>
                <w:szCs w:val="32"/>
                <w:u w:val="single"/>
              </w:rPr>
              <w:t xml:space="preserve">  </w:t>
            </w:r>
            <w:r>
              <w:rPr>
                <w:rFonts w:hint="eastAsia" w:ascii="仿宋_GB2312" w:hAnsi="宋体" w:eastAsia="仿宋_GB2312"/>
                <w:bCs/>
                <w:sz w:val="32"/>
                <w:szCs w:val="32"/>
                <w:u w:val="single"/>
                <w:lang w:val="en-US" w:eastAsia="zh-CN"/>
              </w:rPr>
              <w:t xml:space="preserve"> </w:t>
            </w:r>
            <w:r>
              <w:rPr>
                <w:rFonts w:hint="eastAsia" w:ascii="仿宋_GB2312" w:hAnsi="宋体" w:eastAsia="仿宋_GB2312"/>
                <w:bCs/>
                <w:sz w:val="32"/>
                <w:szCs w:val="32"/>
              </w:rPr>
              <w:t>月</w:t>
            </w:r>
            <w:r>
              <w:rPr>
                <w:rFonts w:hint="eastAsia" w:ascii="仿宋_GB2312" w:hAnsi="宋体" w:eastAsia="仿宋_GB2312"/>
                <w:bCs/>
                <w:sz w:val="32"/>
                <w:szCs w:val="32"/>
                <w:u w:val="single"/>
              </w:rPr>
              <w:t xml:space="preserve">  </w:t>
            </w:r>
            <w:r>
              <w:rPr>
                <w:rFonts w:hint="eastAsia" w:ascii="仿宋_GB2312" w:hAnsi="宋体" w:eastAsia="仿宋_GB2312"/>
                <w:bCs/>
                <w:sz w:val="32"/>
                <w:szCs w:val="32"/>
                <w:u w:val="single"/>
                <w:lang w:val="en-US" w:eastAsia="zh-CN"/>
              </w:rPr>
              <w:t xml:space="preserve"> </w:t>
            </w:r>
            <w:r>
              <w:rPr>
                <w:rFonts w:hint="eastAsia" w:ascii="仿宋_GB2312" w:hAnsi="宋体" w:eastAsia="仿宋_GB2312"/>
                <w:bCs/>
                <w:sz w:val="32"/>
                <w:szCs w:val="32"/>
              </w:rPr>
              <w:t>日</w:t>
            </w:r>
          </w:p>
        </w:tc>
      </w:tr>
      <w:tr>
        <w:tblPrEx>
          <w:tblLayout w:type="fixed"/>
          <w:tblCellMar>
            <w:top w:w="0" w:type="dxa"/>
            <w:left w:w="108" w:type="dxa"/>
            <w:bottom w:w="0" w:type="dxa"/>
            <w:right w:w="108" w:type="dxa"/>
          </w:tblCellMar>
        </w:tblPrEx>
        <w:trPr>
          <w:trHeight w:val="1004" w:hRule="atLeast"/>
          <w:jc w:val="center"/>
        </w:trPr>
        <w:tc>
          <w:tcPr>
            <w:tcW w:w="5168" w:type="dxa"/>
            <w:tcBorders>
              <w:top w:val="nil"/>
              <w:left w:val="nil"/>
              <w:bottom w:val="nil"/>
              <w:right w:val="nil"/>
            </w:tcBorders>
            <w:vAlign w:val="top"/>
          </w:tcPr>
          <w:p>
            <w:pPr>
              <w:shd w:val="clear"/>
              <w:spacing w:before="156"/>
              <w:rPr>
                <w:rFonts w:hint="eastAsia" w:ascii="仿宋_GB2312" w:eastAsia="仿宋_GB2312" w:cs="Calibri"/>
                <w:bCs/>
                <w:sz w:val="32"/>
                <w:szCs w:val="32"/>
              </w:rPr>
            </w:pPr>
          </w:p>
        </w:tc>
        <w:tc>
          <w:tcPr>
            <w:tcW w:w="5536" w:type="dxa"/>
            <w:tcBorders>
              <w:top w:val="nil"/>
              <w:left w:val="nil"/>
              <w:bottom w:val="nil"/>
              <w:right w:val="nil"/>
            </w:tcBorders>
            <w:vAlign w:val="top"/>
          </w:tcPr>
          <w:p>
            <w:pPr>
              <w:shd w:val="clear"/>
              <w:adjustRightInd w:val="0"/>
              <w:snapToGrid w:val="0"/>
              <w:spacing w:before="156"/>
              <w:ind w:left="2240" w:hanging="2240" w:hangingChars="700"/>
              <w:rPr>
                <w:rFonts w:hint="eastAsia" w:ascii="仿宋_GB2312" w:hAnsi="宋体" w:eastAsia="仿宋_GB2312"/>
                <w:bCs/>
                <w:sz w:val="32"/>
                <w:szCs w:val="32"/>
              </w:rPr>
            </w:pPr>
            <w:r>
              <w:rPr>
                <w:rFonts w:hint="eastAsia" w:ascii="仿宋_GB2312" w:hAnsi="宋体" w:eastAsia="仿宋_GB2312"/>
                <w:bCs/>
                <w:sz w:val="32"/>
                <w:szCs w:val="32"/>
              </w:rPr>
              <w:t>开户银行：</w:t>
            </w:r>
          </w:p>
          <w:p>
            <w:pPr>
              <w:shd w:val="clear"/>
              <w:adjustRightInd w:val="0"/>
              <w:snapToGrid w:val="0"/>
              <w:spacing w:before="156"/>
              <w:ind w:left="2240" w:hanging="2240" w:hangingChars="700"/>
              <w:rPr>
                <w:rFonts w:hint="eastAsia" w:ascii="仿宋_GB2312" w:eastAsia="仿宋_GB2312" w:cs="Calibri"/>
                <w:bCs/>
                <w:sz w:val="32"/>
                <w:szCs w:val="32"/>
              </w:rPr>
            </w:pPr>
            <w:r>
              <w:rPr>
                <w:rFonts w:hint="eastAsia" w:ascii="仿宋_GB2312" w:hAnsi="宋体" w:eastAsia="仿宋_GB2312"/>
                <w:bCs/>
                <w:sz w:val="32"/>
                <w:szCs w:val="32"/>
              </w:rPr>
              <w:t>开户帐号：</w:t>
            </w:r>
          </w:p>
        </w:tc>
      </w:tr>
      <w:tr>
        <w:tblPrEx>
          <w:tblLayout w:type="fixed"/>
          <w:tblCellMar>
            <w:top w:w="0" w:type="dxa"/>
            <w:left w:w="108" w:type="dxa"/>
            <w:bottom w:w="0" w:type="dxa"/>
            <w:right w:w="108" w:type="dxa"/>
          </w:tblCellMar>
        </w:tblPrEx>
        <w:trPr>
          <w:trHeight w:val="654" w:hRule="atLeast"/>
          <w:jc w:val="center"/>
        </w:trPr>
        <w:tc>
          <w:tcPr>
            <w:tcW w:w="5168" w:type="dxa"/>
            <w:tcBorders>
              <w:top w:val="nil"/>
              <w:left w:val="nil"/>
              <w:bottom w:val="nil"/>
              <w:right w:val="nil"/>
            </w:tcBorders>
            <w:vAlign w:val="top"/>
          </w:tcPr>
          <w:p>
            <w:pPr>
              <w:shd w:val="clear"/>
              <w:spacing w:before="156"/>
              <w:rPr>
                <w:rFonts w:hint="eastAsia" w:ascii="仿宋_GB2312" w:eastAsia="仿宋_GB2312" w:cs="Calibri"/>
                <w:bCs/>
                <w:sz w:val="32"/>
                <w:szCs w:val="32"/>
              </w:rPr>
            </w:pPr>
            <w:r>
              <w:rPr>
                <w:rFonts w:hint="eastAsia" w:ascii="仿宋_GB2312" w:hAnsi="宋体" w:eastAsia="仿宋_GB2312"/>
                <w:bCs/>
                <w:sz w:val="32"/>
                <w:szCs w:val="32"/>
              </w:rPr>
              <w:t>联系人：</w:t>
            </w:r>
          </w:p>
        </w:tc>
        <w:tc>
          <w:tcPr>
            <w:tcW w:w="5536" w:type="dxa"/>
            <w:tcBorders>
              <w:top w:val="nil"/>
              <w:left w:val="nil"/>
              <w:bottom w:val="nil"/>
              <w:right w:val="nil"/>
            </w:tcBorders>
            <w:vAlign w:val="top"/>
          </w:tcPr>
          <w:p>
            <w:pPr>
              <w:shd w:val="clear"/>
              <w:adjustRightInd w:val="0"/>
              <w:snapToGrid w:val="0"/>
              <w:spacing w:before="156"/>
              <w:rPr>
                <w:rFonts w:hint="eastAsia" w:ascii="仿宋_GB2312" w:eastAsia="仿宋_GB2312" w:cs="Calibri"/>
                <w:bCs/>
                <w:sz w:val="32"/>
                <w:szCs w:val="32"/>
              </w:rPr>
            </w:pPr>
            <w:r>
              <w:rPr>
                <w:rFonts w:hint="eastAsia" w:ascii="仿宋_GB2312" w:hAnsi="宋体" w:eastAsia="仿宋_GB2312"/>
                <w:bCs/>
                <w:sz w:val="32"/>
                <w:szCs w:val="32"/>
              </w:rPr>
              <w:t>联系人：</w:t>
            </w:r>
          </w:p>
        </w:tc>
      </w:tr>
      <w:tr>
        <w:tblPrEx>
          <w:tblLayout w:type="fixed"/>
          <w:tblCellMar>
            <w:top w:w="0" w:type="dxa"/>
            <w:left w:w="108" w:type="dxa"/>
            <w:bottom w:w="0" w:type="dxa"/>
            <w:right w:w="108" w:type="dxa"/>
          </w:tblCellMar>
        </w:tblPrEx>
        <w:trPr>
          <w:trHeight w:val="708" w:hRule="atLeast"/>
          <w:jc w:val="center"/>
        </w:trPr>
        <w:tc>
          <w:tcPr>
            <w:tcW w:w="5168" w:type="dxa"/>
            <w:tcBorders>
              <w:top w:val="nil"/>
              <w:left w:val="nil"/>
              <w:bottom w:val="nil"/>
              <w:right w:val="nil"/>
            </w:tcBorders>
            <w:vAlign w:val="top"/>
          </w:tcPr>
          <w:p>
            <w:pPr>
              <w:shd w:val="clear"/>
              <w:spacing w:before="156"/>
              <w:rPr>
                <w:rFonts w:hint="eastAsia" w:ascii="仿宋_GB2312" w:eastAsia="仿宋_GB2312" w:cs="Calibri"/>
                <w:bCs/>
                <w:sz w:val="32"/>
                <w:szCs w:val="32"/>
              </w:rPr>
            </w:pPr>
            <w:r>
              <w:rPr>
                <w:rFonts w:hint="eastAsia" w:ascii="仿宋_GB2312" w:hAnsi="宋体" w:eastAsia="仿宋_GB2312"/>
                <w:bCs/>
                <w:sz w:val="32"/>
                <w:szCs w:val="32"/>
              </w:rPr>
              <w:t>电话：</w:t>
            </w:r>
          </w:p>
        </w:tc>
        <w:tc>
          <w:tcPr>
            <w:tcW w:w="5536" w:type="dxa"/>
            <w:tcBorders>
              <w:top w:val="nil"/>
              <w:left w:val="nil"/>
              <w:bottom w:val="nil"/>
              <w:right w:val="nil"/>
            </w:tcBorders>
            <w:vAlign w:val="top"/>
          </w:tcPr>
          <w:p>
            <w:pPr>
              <w:shd w:val="clear"/>
              <w:spacing w:before="156"/>
              <w:rPr>
                <w:rFonts w:hint="eastAsia" w:ascii="仿宋_GB2312" w:hAnsi="宋体" w:eastAsia="仿宋_GB2312" w:cs="Calibri"/>
                <w:bCs/>
                <w:sz w:val="32"/>
                <w:szCs w:val="32"/>
              </w:rPr>
            </w:pPr>
            <w:r>
              <w:rPr>
                <w:rFonts w:hint="eastAsia" w:ascii="仿宋_GB2312" w:hAnsi="宋体" w:eastAsia="仿宋_GB2312"/>
                <w:bCs/>
                <w:sz w:val="32"/>
                <w:szCs w:val="32"/>
              </w:rPr>
              <w:t>电话：</w:t>
            </w:r>
          </w:p>
        </w:tc>
      </w:tr>
    </w:tbl>
    <w:p>
      <w:pPr>
        <w:shd w:val="clear"/>
        <w:rPr>
          <w:rFonts w:hint="eastAsia" w:ascii="仿宋_GB2312" w:eastAsia="仿宋_GB2312" w:cs="Calibri"/>
          <w:sz w:val="32"/>
          <w:szCs w:val="32"/>
        </w:rPr>
      </w:pPr>
    </w:p>
    <w:p>
      <w:pPr>
        <w:pStyle w:val="2"/>
        <w:shd w:val="clea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5D7C0D"/>
    <w:multiLevelType w:val="multilevel"/>
    <w:tmpl w:val="315D7C0D"/>
    <w:lvl w:ilvl="0" w:tentative="0">
      <w:start w:val="7"/>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6229ACCD"/>
    <w:multiLevelType w:val="singleLevel"/>
    <w:tmpl w:val="6229ACCD"/>
    <w:lvl w:ilvl="0" w:tentative="0">
      <w:start w:val="1"/>
      <w:numFmt w:val="chineseCounting"/>
      <w:suff w:val="nothing"/>
      <w:lvlText w:val="%1、"/>
      <w:lvlJc w:val="left"/>
      <w:rPr>
        <w:rFonts w:hint="eastAsia"/>
      </w:rPr>
    </w:lvl>
  </w:abstractNum>
  <w:abstractNum w:abstractNumId="2">
    <w:nsid w:val="71866C97"/>
    <w:multiLevelType w:val="multilevel"/>
    <w:tmpl w:val="71866C97"/>
    <w:lvl w:ilvl="0" w:tentative="0">
      <w:start w:val="1"/>
      <w:numFmt w:val="decimalEnclosedCircle"/>
      <w:lvlText w:val="%1"/>
      <w:lvlJc w:val="left"/>
      <w:pPr>
        <w:ind w:left="360" w:hanging="360"/>
      </w:pPr>
      <w:rPr>
        <w:rFonts w:hint="eastAsia" w:ascii="宋体" w:hAnsi="宋体" w:eastAsia="宋体" w:cs="Times New Roman"/>
        <w:b/>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2NTdiN2JkYjdjNjk3MTNjY2ExMDAyZGRhZTRjNDMifQ=="/>
  </w:docVars>
  <w:rsids>
    <w:rsidRoot w:val="1EC25C58"/>
    <w:rsid w:val="00812F3D"/>
    <w:rsid w:val="00E037D4"/>
    <w:rsid w:val="01DB1515"/>
    <w:rsid w:val="02AE2AED"/>
    <w:rsid w:val="063F3788"/>
    <w:rsid w:val="08754CD8"/>
    <w:rsid w:val="08963744"/>
    <w:rsid w:val="0A0D757E"/>
    <w:rsid w:val="0DB478DC"/>
    <w:rsid w:val="10BC1B2A"/>
    <w:rsid w:val="123F7EDD"/>
    <w:rsid w:val="15D77999"/>
    <w:rsid w:val="1AC95B17"/>
    <w:rsid w:val="1C77558E"/>
    <w:rsid w:val="1EC25C58"/>
    <w:rsid w:val="1F0C2992"/>
    <w:rsid w:val="236371FA"/>
    <w:rsid w:val="241A6482"/>
    <w:rsid w:val="26453DE7"/>
    <w:rsid w:val="26EB1193"/>
    <w:rsid w:val="27AB3740"/>
    <w:rsid w:val="28154FE7"/>
    <w:rsid w:val="28817E6A"/>
    <w:rsid w:val="2A506E02"/>
    <w:rsid w:val="2A575C18"/>
    <w:rsid w:val="2BB2311B"/>
    <w:rsid w:val="2D5B6C34"/>
    <w:rsid w:val="2F2446B6"/>
    <w:rsid w:val="3211489D"/>
    <w:rsid w:val="33A312F6"/>
    <w:rsid w:val="34C4064B"/>
    <w:rsid w:val="395512B4"/>
    <w:rsid w:val="39CB5031"/>
    <w:rsid w:val="3E676F47"/>
    <w:rsid w:val="41872656"/>
    <w:rsid w:val="424B536A"/>
    <w:rsid w:val="43722446"/>
    <w:rsid w:val="48A20B20"/>
    <w:rsid w:val="4B776898"/>
    <w:rsid w:val="4C1D5719"/>
    <w:rsid w:val="4D3243D8"/>
    <w:rsid w:val="4FE0758B"/>
    <w:rsid w:val="50923F0E"/>
    <w:rsid w:val="54BA7CF8"/>
    <w:rsid w:val="55621F22"/>
    <w:rsid w:val="57686D51"/>
    <w:rsid w:val="57EE1305"/>
    <w:rsid w:val="5BA32ABA"/>
    <w:rsid w:val="5CB52DF9"/>
    <w:rsid w:val="5D3A69D3"/>
    <w:rsid w:val="61C32077"/>
    <w:rsid w:val="62622BD4"/>
    <w:rsid w:val="62FE616C"/>
    <w:rsid w:val="6F1277AF"/>
    <w:rsid w:val="74115354"/>
    <w:rsid w:val="74A470FC"/>
    <w:rsid w:val="7C99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99" w:semiHidden="0" w:name="toc 1"/>
    <w:lsdException w:unhideWhenUsed="0" w:uiPriority="0" w:semiHidden="0" w:name="toc 2"/>
    <w:lsdException w:qFormat="1" w:uiPriority="9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qFormat/>
    <w:uiPriority w:val="0"/>
    <w:pPr>
      <w:outlineLvl w:val="1"/>
    </w:pPr>
    <w:rPr>
      <w:rFonts w:ascii="宋体" w:hAnsi="宋体"/>
      <w:sz w:val="30"/>
      <w:szCs w:val="30"/>
    </w:rPr>
  </w:style>
  <w:style w:type="character" w:default="1" w:styleId="9">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toc 3"/>
    <w:basedOn w:val="1"/>
    <w:next w:val="1"/>
    <w:unhideWhenUsed/>
    <w:qFormat/>
    <w:uiPriority w:val="99"/>
    <w:pPr>
      <w:spacing w:before="100" w:beforeAutospacing="1" w:after="100" w:afterAutospacing="1"/>
      <w:ind w:left="840" w:leftChars="400"/>
    </w:pPr>
    <w:rPr>
      <w:rFonts w:ascii="Times New Roman" w:hAnsi="Times New Roman" w:eastAsia="宋体" w:cs="Times New Roman"/>
      <w:szCs w:val="21"/>
    </w:rPr>
  </w:style>
  <w:style w:type="paragraph" w:styleId="5">
    <w:name w:val="Plain Text"/>
    <w:basedOn w:val="1"/>
    <w:unhideWhenUsed/>
    <w:qFormat/>
    <w:uiPriority w:val="0"/>
    <w:rPr>
      <w:rFonts w:ascii="Times New Roman" w:hAnsi="Times New Roman" w:eastAsia="宋体" w:cs="Times New Roman"/>
      <w:szCs w:val="20"/>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toc 1"/>
    <w:basedOn w:val="1"/>
    <w:next w:val="1"/>
    <w:unhideWhenUsed/>
    <w:qFormat/>
    <w:uiPriority w:val="99"/>
    <w:rPr>
      <w:rFonts w:ascii="Times New Roman" w:hAnsi="Times New Roman" w:eastAsia="宋体" w:cs="Times New Roman"/>
      <w:szCs w:val="21"/>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Hyperlink"/>
    <w:basedOn w:val="9"/>
    <w:qFormat/>
    <w:uiPriority w:val="0"/>
    <w:rPr>
      <w:color w:val="0000FF"/>
      <w:u w:val="single"/>
    </w:rPr>
  </w:style>
  <w:style w:type="table" w:styleId="13">
    <w:name w:val="Table Grid"/>
    <w:basedOn w:val="12"/>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358</Words>
  <Characters>372</Characters>
  <Lines>0</Lines>
  <Paragraphs>0</Paragraphs>
  <TotalTime>5</TotalTime>
  <ScaleCrop>false</ScaleCrop>
  <LinksUpToDate>false</LinksUpToDate>
  <CharactersWithSpaces>512</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2021-11-03T02:40:00Z</dcterms:created>
  <dc:creator>潇洒Z小鱼</dc:creator>
  <cp:lastModifiedBy>张潇予</cp:lastModifiedBy>
  <cp:lastPrinted>2021-11-29T01:27:00Z</cp:lastPrinted>
  <dcterms:modified xsi:type="dcterms:W3CDTF">2024-04-22T07:27:41Z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77AA7E71BF3D4906B0B4267554F8A45B</vt:lpwstr>
  </property>
  <property fmtid="{D5CDD505-2E9C-101B-9397-08002B2CF9AE}" pid="4" name="commondata">
    <vt:lpwstr>eyJoZGlkIjoiMzFhYjEyOTI2ZmNkMmVjMmE3YWE5ZmE0YWU3NGFmZmYifQ==</vt:lpwstr>
  </property>
</Properties>
</file>